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МЕТОДИЧЕСКИЕ РЕКОМЕНДАЦИИ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 ВОПРОСАМ ПРЕДСТАВЛЕНИЯ СВЕДЕНИЙ</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 ДОХОДАХ, РАСХОДАХ, ОБ ИМУЩЕСТВЕ И ОБЯЗАТЕЛЬСТВАХ ИМУЩЕСТВЕННОГО ХАРАКТЕРА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 ЗАПОЛНЕНИЯ СООТВЕТСТВУЮЩЕЙ ФОРМЫ СПРАВКИ </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2022 году (за отчетный 2021 год)</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пунктом 25 Указа Президента Российской Федерации от 2 апреля 2013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309 "</w:t>
      </w:r>
      <w:r>
        <w:rPr>
          <w:rFonts w:ascii="Times New Roman" w:hAnsi="Times New Roman" w:cs="Times New Roman" w:eastAsia="Times New Roman"/>
          <w:color w:val="auto"/>
          <w:spacing w:val="0"/>
          <w:position w:val="0"/>
          <w:sz w:val="28"/>
          <w:shd w:fill="auto" w:val="clear"/>
        </w:rPr>
        <w:t xml:space="preserve">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методические рекомендации</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другие инструктивно-методические материалы по данным вопросам.</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47 </w:t>
      </w:r>
      <w:r>
        <w:rPr>
          <w:rFonts w:ascii="Times New Roman" w:hAnsi="Times New Roman" w:cs="Times New Roman" w:eastAsia="Times New Roman"/>
          <w:color w:val="auto"/>
          <w:spacing w:val="0"/>
          <w:position w:val="0"/>
          <w:sz w:val="28"/>
          <w:shd w:fill="auto" w:val="clear"/>
        </w:rPr>
        <w:t xml:space="preserve">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364 "</w:t>
      </w:r>
      <w:r>
        <w:rPr>
          <w:rFonts w:ascii="Times New Roman" w:hAnsi="Times New Roman" w:cs="Times New Roman" w:eastAsia="Times New Roman"/>
          <w:color w:val="auto"/>
          <w:spacing w:val="0"/>
          <w:position w:val="0"/>
          <w:sz w:val="28"/>
          <w:shd w:fill="auto" w:val="clear"/>
        </w:rPr>
        <w:t xml:space="preserve">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460 "</w:t>
      </w:r>
      <w:r>
        <w:rPr>
          <w:rFonts w:ascii="Times New Roman" w:hAnsi="Times New Roman" w:cs="Times New Roman" w:eastAsia="Times New Roman"/>
          <w:color w:val="auto"/>
          <w:spacing w:val="0"/>
          <w:position w:val="0"/>
          <w:sz w:val="28"/>
          <w:shd w:fill="auto" w:val="clear"/>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справка), обращаются в указанное подразделение.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numPr>
          <w:ilvl w:val="0"/>
          <w:numId w:val="3"/>
        </w:numPr>
        <w:tabs>
          <w:tab w:val="left" w:pos="426"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Представление сведений о доходах, расходах,</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 имуществе и обязательствах имущественного характера</w: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tabs>
          <w:tab w:val="left" w:pos="567"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Лица, обязанные представлять сведения о доходах, расходах, об имуществе и обязательствах имущественного характера</w:t>
      </w:r>
    </w:p>
    <w:p>
      <w:pPr>
        <w:numPr>
          <w:ilvl w:val="0"/>
          <w:numId w:val="6"/>
        </w:numPr>
        <w:tabs>
          <w:tab w:val="left" w:pos="567" w:leader="none"/>
          <w:tab w:val="left" w:pos="993"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 доходах, расходах, об имуществе и обязательствах имущественного характера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служащий (работник)), а именно:</w:t>
      </w:r>
    </w:p>
    <w:p>
      <w:pPr>
        <w:numPr>
          <w:ilvl w:val="0"/>
          <w:numId w:val="6"/>
        </w:numPr>
        <w:tabs>
          <w:tab w:val="left" w:pos="567" w:leader="none"/>
        </w:tabs>
        <w:spacing w:before="0" w:after="0" w:line="240"/>
        <w:ind w:right="0" w:left="0"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учетом особенностей, установленных подпунктом 2 настоящего пункта);</w:t>
      </w:r>
    </w:p>
    <w:p>
      <w:pPr>
        <w:numPr>
          <w:ilvl w:val="0"/>
          <w:numId w:val="6"/>
        </w:numPr>
        <w:tabs>
          <w:tab w:val="left" w:pos="567" w:leader="none"/>
        </w:tabs>
        <w:spacing w:before="0" w:after="0" w:line="240"/>
        <w:ind w:right="0" w:left="0" w:firstLine="56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230-</w:t>
      </w:r>
      <w:r>
        <w:rPr>
          <w:rFonts w:ascii="Times New Roman" w:hAnsi="Times New Roman" w:cs="Times New Roman" w:eastAsia="Times New Roman"/>
          <w:color w:val="auto"/>
          <w:spacing w:val="0"/>
          <w:position w:val="0"/>
          <w:sz w:val="28"/>
          <w:shd w:fill="auto" w:val="clear"/>
        </w:rPr>
        <w:t xml:space="preserve">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numPr>
          <w:ilvl w:val="0"/>
          <w:numId w:val="6"/>
        </w:num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государственными и муниципальными служащими, замещающими должности, включенные в </w:t>
      </w:r>
      <w:hyperlink xmlns:r="http://schemas.openxmlformats.org/officeDocument/2006/relationships" r:id="docRId1">
        <w:r>
          <w:rPr>
            <w:rFonts w:ascii="Times New Roman" w:hAnsi="Times New Roman" w:cs="Times New Roman" w:eastAsia="Times New Roman"/>
            <w:color w:val="0000FF"/>
            <w:spacing w:val="0"/>
            <w:position w:val="0"/>
            <w:sz w:val="28"/>
            <w:u w:val="single"/>
            <w:shd w:fill="auto" w:val="clear"/>
          </w:rPr>
          <w:t xml:space="preserve">перечни</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утвержденные нормативными правовыми актами Российской Федерации;</w:t>
      </w:r>
    </w:p>
    <w:p>
      <w:pPr>
        <w:numPr>
          <w:ilvl w:val="0"/>
          <w:numId w:val="6"/>
        </w:num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pPr>
        <w:numPr>
          <w:ilvl w:val="0"/>
          <w:numId w:val="6"/>
        </w:num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перечень</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утвержденный Советом директоров Центрального банка Российской Федерации;</w:t>
      </w:r>
    </w:p>
    <w:p>
      <w:pPr>
        <w:numPr>
          <w:ilvl w:val="0"/>
          <w:numId w:val="6"/>
        </w:num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перечни</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утвержденные федеральными государственными органами;</w:t>
      </w:r>
    </w:p>
    <w:p>
      <w:pPr>
        <w:numPr>
          <w:ilvl w:val="0"/>
          <w:numId w:val="6"/>
        </w:num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атаман войскового казачьего общества);</w:t>
      </w:r>
    </w:p>
    <w:p>
      <w:pPr>
        <w:numPr>
          <w:ilvl w:val="0"/>
          <w:numId w:val="6"/>
        </w:num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уполномоченным по правам потребителей финансовых услуг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финансовый уполномоченный), руководителем службы обеспечения деятельности финансового уполномоченного;</w:t>
      </w:r>
    </w:p>
    <w:p>
      <w:pPr>
        <w:numPr>
          <w:ilvl w:val="0"/>
          <w:numId w:val="6"/>
        </w:num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иными лицами в соответствии с законодательством Российской Федерации.</w:t>
      </w:r>
    </w:p>
    <w:p>
      <w:pPr>
        <w:numPr>
          <w:ilvl w:val="0"/>
          <w:numId w:val="6"/>
        </w:numPr>
        <w:tabs>
          <w:tab w:val="left" w:pos="567"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 доходах, об имуществе и обязательствах имущественного характера представляются гражданином, претендующим на замещение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гражданин):</w:t>
      </w:r>
    </w:p>
    <w:p>
      <w:pPr>
        <w:numPr>
          <w:ilvl w:val="0"/>
          <w:numId w:val="6"/>
        </w:numPr>
        <w:tabs>
          <w:tab w:val="left" w:pos="0"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государственной должности Российской Федерации, государственной должности субъекта Российской Федерации, муниципальной должности;</w:t>
      </w:r>
    </w:p>
    <w:p>
      <w:pPr>
        <w:numPr>
          <w:ilvl w:val="0"/>
          <w:numId w:val="6"/>
        </w:num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любой должности государственной службы Российской Федерации (поступающим на службу);</w:t>
      </w:r>
    </w:p>
    <w:p>
      <w:pPr>
        <w:numPr>
          <w:ilvl w:val="0"/>
          <w:numId w:val="6"/>
        </w:num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муниципальной службы, включенной в перечни, утвержденные нормативными правовыми актами Российской Федерации;</w:t>
      </w:r>
    </w:p>
    <w:p>
      <w:pPr>
        <w:numPr>
          <w:ilvl w:val="0"/>
          <w:numId w:val="6"/>
        </w:num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pPr>
        <w:numPr>
          <w:ilvl w:val="0"/>
          <w:numId w:val="6"/>
        </w:num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xmlns:r="http://schemas.openxmlformats.org/officeDocument/2006/relationships" r:id="docRId4">
        <w:r>
          <w:rPr>
            <w:rFonts w:ascii="Times New Roman" w:hAnsi="Times New Roman" w:cs="Times New Roman" w:eastAsia="Times New Roman"/>
            <w:color w:val="0000FF"/>
            <w:spacing w:val="0"/>
            <w:position w:val="0"/>
            <w:sz w:val="28"/>
            <w:u w:val="single"/>
            <w:shd w:fill="auto" w:val="clear"/>
          </w:rPr>
          <w:t xml:space="preserve">перечень</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утвержденный Советом директоров Центрального банка Российской Федерации;</w:t>
      </w:r>
    </w:p>
    <w:p>
      <w:pPr>
        <w:numPr>
          <w:ilvl w:val="0"/>
          <w:numId w:val="6"/>
        </w:num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xmlns:r="http://schemas.openxmlformats.org/officeDocument/2006/relationships" r:id="docRId5">
        <w:r>
          <w:rPr>
            <w:rFonts w:ascii="Times New Roman" w:hAnsi="Times New Roman" w:cs="Times New Roman" w:eastAsia="Times New Roman"/>
            <w:color w:val="0000FF"/>
            <w:spacing w:val="0"/>
            <w:position w:val="0"/>
            <w:sz w:val="28"/>
            <w:u w:val="single"/>
            <w:shd w:fill="auto" w:val="clear"/>
          </w:rPr>
          <w:t xml:space="preserve">перечни</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утвержденные федеральными государственными органами;</w:t>
      </w:r>
    </w:p>
    <w:p>
      <w:pPr>
        <w:numPr>
          <w:ilvl w:val="0"/>
          <w:numId w:val="6"/>
        </w:num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numPr>
          <w:ilvl w:val="0"/>
          <w:numId w:val="6"/>
        </w:num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финансового уполномоченного, руководителя службы обеспечения деятельности финансового уполномоченного;</w:t>
      </w:r>
    </w:p>
    <w:p>
      <w:pPr>
        <w:numPr>
          <w:ilvl w:val="0"/>
          <w:numId w:val="6"/>
        </w:num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иных должностей в соответствии с законодательством Российской Федерации.</w:t>
      </w:r>
    </w:p>
    <w:p>
      <w:pPr>
        <w:tabs>
          <w:tab w:val="left" w:pos="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pPr>
        <w:numPr>
          <w:ilvl w:val="0"/>
          <w:numId w:val="13"/>
        </w:numPr>
        <w:tabs>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xmlns:r="http://schemas.openxmlformats.org/officeDocument/2006/relationships" r:id="docRId6">
        <w:r>
          <w:rPr>
            <w:rFonts w:ascii="Times New Roman" w:hAnsi="Times New Roman" w:cs="Times New Roman" w:eastAsia="Times New Roman"/>
            <w:color w:val="0000FF"/>
            <w:spacing w:val="0"/>
            <w:position w:val="0"/>
            <w:sz w:val="28"/>
            <w:u w:val="single"/>
            <w:shd w:fill="auto" w:val="clear"/>
          </w:rPr>
          <w:t xml:space="preserve">перечнем</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должностей, утвержденным Указом Президента Российской Федерации от 18 мая 2009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557 "</w:t>
      </w:r>
      <w:r>
        <w:rPr>
          <w:rFonts w:ascii="Times New Roman" w:hAnsi="Times New Roman" w:cs="Times New Roman" w:eastAsia="Times New Roman"/>
          <w:color w:val="auto"/>
          <w:spacing w:val="0"/>
          <w:position w:val="0"/>
          <w:sz w:val="28"/>
          <w:shd w:fill="auto" w:val="clear"/>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pPr>
        <w:tabs>
          <w:tab w:val="left" w:pos="567"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Обязательность представления сведений</w:t>
      </w:r>
    </w:p>
    <w:p>
      <w:pPr>
        <w:numPr>
          <w:ilvl w:val="0"/>
          <w:numId w:val="15"/>
        </w:numPr>
        <w:tabs>
          <w:tab w:val="left" w:pos="567"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pPr>
        <w:numPr>
          <w:ilvl w:val="0"/>
          <w:numId w:val="15"/>
        </w:numPr>
        <w:tabs>
          <w:tab w:val="left" w:pos="567"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pPr>
        <w:tabs>
          <w:tab w:val="left" w:pos="567"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Сроки представления сведений</w:t>
      </w:r>
    </w:p>
    <w:p>
      <w:pPr>
        <w:numPr>
          <w:ilvl w:val="0"/>
          <w:numId w:val="17"/>
        </w:numPr>
        <w:tabs>
          <w:tab w:val="left" w:pos="567"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pPr>
        <w:tabs>
          <w:tab w:val="left" w:pos="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tabs>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numPr>
          <w:ilvl w:val="0"/>
          <w:numId w:val="20"/>
        </w:numPr>
        <w:tabs>
          <w:tab w:val="left" w:pos="567"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Служащие (работники) представляют сведения ежегодно в следующие сроки:</w:t>
      </w:r>
    </w:p>
    <w:p>
      <w:pPr>
        <w:numPr>
          <w:ilvl w:val="0"/>
          <w:numId w:val="20"/>
        </w:num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numPr>
          <w:ilvl w:val="0"/>
          <w:numId w:val="20"/>
        </w:num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numPr>
          <w:ilvl w:val="0"/>
          <w:numId w:val="20"/>
        </w:numPr>
        <w:tabs>
          <w:tab w:val="left" w:pos="567"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могут быть представлены служащим (работником) в любое время, начиная с 1 января года, следующего за отчетным. </w:t>
      </w:r>
    </w:p>
    <w:p>
      <w:pPr>
        <w:numPr>
          <w:ilvl w:val="0"/>
          <w:numId w:val="20"/>
        </w:numPr>
        <w:tabs>
          <w:tab w:val="left" w:pos="567"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tabs>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numPr>
          <w:ilvl w:val="0"/>
          <w:numId w:val="24"/>
        </w:numPr>
        <w:tabs>
          <w:tab w:val="left" w:pos="567"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pPr>
        <w:tabs>
          <w:tab w:val="left" w:pos="567"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Лица, в отношении которых представляются сведения</w:t>
      </w:r>
    </w:p>
    <w:p>
      <w:pPr>
        <w:numPr>
          <w:ilvl w:val="0"/>
          <w:numId w:val="26"/>
        </w:numPr>
        <w:tabs>
          <w:tab w:val="left" w:pos="567"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представляются отдельно:</w:t>
      </w:r>
    </w:p>
    <w:p>
      <w:p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 отношении служащего (работника),</w:t>
      </w:r>
    </w:p>
    <w:p>
      <w:p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 отношении его супруги (супруга),</w:t>
      </w:r>
    </w:p>
    <w:p>
      <w:p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в отношении каждого несовершеннолетнего ребенка служащего (работника).</w:t>
      </w:r>
    </w:p>
    <w:p>
      <w:p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Например, служащий (работник), имеющий супругу и двоих несовершеннолетних детей, обязан представить четыре справки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pPr>
        <w:numPr>
          <w:ilvl w:val="0"/>
          <w:numId w:val="28"/>
        </w:numPr>
        <w:tabs>
          <w:tab w:val="left" w:pos="567"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Отчетный период и отчетная дата представления сведений</w:t>
      </w:r>
      <w:r>
        <w:rPr>
          <w:rFonts w:ascii="Times New Roman" w:hAnsi="Times New Roman" w:cs="Times New Roman" w:eastAsia="Times New Roman"/>
          <w:color w:val="auto"/>
          <w:spacing w:val="0"/>
          <w:position w:val="0"/>
          <w:sz w:val="28"/>
          <w:shd w:fill="auto" w:val="clear"/>
        </w:rPr>
        <w:t xml:space="preserve">, установленные для граждан и служащих (работников), различны:</w:t>
      </w:r>
    </w:p>
    <w:p>
      <w:pPr>
        <w:numPr>
          <w:ilvl w:val="0"/>
          <w:numId w:val="28"/>
        </w:numPr>
        <w:tabs>
          <w:tab w:val="left" w:pos="567" w:leader="none"/>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гражданин представляет:</w:t>
      </w:r>
    </w:p>
    <w:p>
      <w:pPr>
        <w:tabs>
          <w:tab w:val="left" w:pos="567" w:leader="none"/>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tabs>
          <w:tab w:val="left" w:pos="567" w:leader="none"/>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numPr>
          <w:ilvl w:val="0"/>
          <w:numId w:val="31"/>
        </w:numPr>
        <w:tabs>
          <w:tab w:val="left" w:pos="567" w:leader="none"/>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служащий (работник) представляет ежегодно:</w:t>
      </w:r>
    </w:p>
    <w:p>
      <w:pPr>
        <w:tabs>
          <w:tab w:val="left" w:pos="567" w:leader="none"/>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tabs>
          <w:tab w:val="left" w:pos="567" w:leader="none"/>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tabs>
          <w:tab w:val="left" w:pos="567" w:leader="none"/>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numPr>
          <w:ilvl w:val="0"/>
          <w:numId w:val="33"/>
        </w:numPr>
        <w:tabs>
          <w:tab w:val="left" w:pos="567"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12 настоящих Методических рекомендаций.</w:t>
      </w:r>
    </w:p>
    <w:p>
      <w:pPr>
        <w:tabs>
          <w:tab w:val="left" w:pos="567" w:leader="none"/>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Замещение конкретной должности на отчетную дату как основание для представления сведений</w:t>
      </w:r>
    </w:p>
    <w:p>
      <w:pPr>
        <w:numPr>
          <w:ilvl w:val="0"/>
          <w:numId w:val="35"/>
        </w:numPr>
        <w:tabs>
          <w:tab w:val="left" w:pos="284" w:leader="none"/>
          <w:tab w:val="left" w:pos="567"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numPr>
          <w:ilvl w:val="0"/>
          <w:numId w:val="35"/>
        </w:numPr>
        <w:tabs>
          <w:tab w:val="left" w:pos="284" w:leader="none"/>
          <w:tab w:val="left" w:pos="567"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tabs>
          <w:tab w:val="left" w:pos="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pPr>
        <w:numPr>
          <w:ilvl w:val="0"/>
          <w:numId w:val="37"/>
        </w:num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558).</w:t>
      </w:r>
    </w:p>
    <w:p>
      <w:pPr>
        <w:numPr>
          <w:ilvl w:val="0"/>
          <w:numId w:val="39"/>
        </w:numPr>
        <w:tabs>
          <w:tab w:val="left" w:pos="567"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Представление сведений после увольнения служащего (работника) в период с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января по 1</w:t>
      </w:r>
      <w:r>
        <w:rPr>
          <w:rFonts w:ascii="Times New Roman" w:hAnsi="Times New Roman" w:cs="Times New Roman" w:eastAsia="Times New Roman"/>
          <w:color w:val="auto"/>
          <w:spacing w:val="0"/>
          <w:position w:val="0"/>
          <w:sz w:val="28"/>
          <w:shd w:fill="auto" w:val="clear"/>
        </w:rPr>
        <w:t xml:space="preserve"> (30) </w:t>
      </w:r>
      <w:r>
        <w:rPr>
          <w:rFonts w:ascii="Times New Roman" w:hAnsi="Times New Roman" w:cs="Times New Roman" w:eastAsia="Times New Roman"/>
          <w:color w:val="auto"/>
          <w:spacing w:val="0"/>
          <w:position w:val="0"/>
          <w:sz w:val="28"/>
          <w:shd w:fill="auto" w:val="clear"/>
        </w:rPr>
        <w:t xml:space="preserve">апреля 2022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не требуется.</w:t>
      </w:r>
    </w:p>
    <w:p>
      <w:pPr>
        <w:tabs>
          <w:tab w:val="left" w:pos="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pPr>
        <w:numPr>
          <w:ilvl w:val="0"/>
          <w:numId w:val="41"/>
        </w:numPr>
        <w:tabs>
          <w:tab w:val="left" w:pos="567"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p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437-</w:t>
      </w:r>
      <w:r>
        <w:rPr>
          <w:rFonts w:ascii="Times New Roman" w:hAnsi="Times New Roman" w:cs="Times New Roman" w:eastAsia="Times New Roman"/>
          <w:color w:val="auto"/>
          <w:spacing w:val="0"/>
          <w:position w:val="0"/>
          <w:sz w:val="28"/>
          <w:shd w:fill="auto" w:val="clear"/>
        </w:rPr>
        <w:t xml:space="preserve">ФЗ "О федеральной территории "Сириус").</w:t>
      </w:r>
    </w:p>
    <w:p>
      <w:p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tabs>
          <w:tab w:val="left" w:pos="567"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Определение круга лиц (членов семьи), в отношении которых необходимо представить сведения</w:t>
      </w:r>
    </w:p>
    <w:p>
      <w:pPr>
        <w:numPr>
          <w:ilvl w:val="0"/>
          <w:numId w:val="43"/>
        </w:numPr>
        <w:tabs>
          <w:tab w:val="left" w:pos="567" w:leader="none"/>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pPr>
        <w:tabs>
          <w:tab w:val="left" w:pos="567"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Супруги</w:t>
      </w:r>
    </w:p>
    <w:p>
      <w:pPr>
        <w:numPr>
          <w:ilvl w:val="0"/>
          <w:numId w:val="45"/>
        </w:numPr>
        <w:tabs>
          <w:tab w:val="left" w:pos="567"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pPr>
        <w:numPr>
          <w:ilvl w:val="0"/>
          <w:numId w:val="45"/>
        </w:numPr>
        <w:tabs>
          <w:tab w:val="left" w:pos="567"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ситуаций и рекомендуемые действия (таблица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tbl>
      <w:tblPr>
        <w:tblInd w:w="108" w:type="dxa"/>
      </w:tblPr>
      <w:tblGrid>
        <w:gridCol w:w="3119"/>
        <w:gridCol w:w="7229"/>
      </w:tblGrid>
      <w:tr>
        <w:trPr>
          <w:trHeight w:val="1" w:hRule="atLeast"/>
          <w:jc w:val="left"/>
        </w:trPr>
        <w:tc>
          <w:tcPr>
            <w:tcW w:w="1034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Пример: служащий (работник) представляет сведения в 2022 году </w:t>
              <w:br/>
              <w:t xml:space="preserve">(за отчетный 2021 г.)</w:t>
            </w:r>
          </w:p>
        </w:tc>
      </w:tr>
      <w:tr>
        <w:trPr>
          <w:trHeight w:val="1" w:hRule="atLeast"/>
          <w:jc w:val="left"/>
        </w:trPr>
        <w:tc>
          <w:tcPr>
            <w:tcW w:w="31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Брак заключен в органах записи актов гражданского состояния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ЗАГС) в ноябре 2021 года</w:t>
            </w:r>
          </w:p>
        </w:tc>
        <w:tc>
          <w:tcPr>
            <w:tcW w:w="72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trPr>
          <w:trHeight w:val="1" w:hRule="atLeast"/>
          <w:jc w:val="left"/>
        </w:trPr>
        <w:tc>
          <w:tcPr>
            <w:tcW w:w="31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Брак заключен в ЗАГСе в марте 2022 года</w:t>
            </w:r>
          </w:p>
        </w:tc>
        <w:tc>
          <w:tcPr>
            <w:tcW w:w="72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супруги (супруга) не представляются, поскольку по состоянию на отчетную дату (31 декабря 2021 года) служащий (работник) не состоял в браке </w:t>
            </w:r>
          </w:p>
        </w:tc>
      </w:tr>
      <w:tr>
        <w:trPr>
          <w:trHeight w:val="1" w:hRule="atLeast"/>
          <w:jc w:val="left"/>
        </w:trPr>
        <w:tc>
          <w:tcPr>
            <w:tcW w:w="1034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34"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Пример: гражданин в сентябре 2022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представляет сведения в связи с подачей документов для назначения на должность. Отчетной датой является 1 августа 2022 года</w:t>
            </w:r>
          </w:p>
        </w:tc>
      </w:tr>
      <w:tr>
        <w:trPr>
          <w:trHeight w:val="660" w:hRule="auto"/>
          <w:jc w:val="left"/>
        </w:trPr>
        <w:tc>
          <w:tcPr>
            <w:tcW w:w="31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34"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Брак заключен 1 февраля 2022 года</w:t>
            </w:r>
          </w:p>
        </w:tc>
        <w:tc>
          <w:tcPr>
            <w:tcW w:w="72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34"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супруги представляются, поскольку по состоянию на отчетную дату (1 августа 2022 года) гражданин состоял в браке</w:t>
            </w:r>
          </w:p>
        </w:tc>
      </w:tr>
      <w:tr>
        <w:trPr>
          <w:trHeight w:val="131" w:hRule="auto"/>
          <w:jc w:val="left"/>
        </w:trPr>
        <w:tc>
          <w:tcPr>
            <w:tcW w:w="311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34"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Брак заключен 2 августа 2022 года</w:t>
            </w:r>
          </w:p>
        </w:tc>
        <w:tc>
          <w:tcPr>
            <w:tcW w:w="72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34"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супруги не представляются, поскольку по состоянию на отчетную дату (1 августа 2022 года) гражданин еще не вступил в брак</w:t>
            </w:r>
          </w:p>
        </w:tc>
      </w:tr>
    </w:tbl>
    <w:p>
      <w:pPr>
        <w:tabs>
          <w:tab w:val="left" w:pos="1134" w:leader="none"/>
        </w:tabs>
        <w:spacing w:before="0" w:after="0" w:line="240"/>
        <w:ind w:right="0" w:left="709" w:firstLine="851"/>
        <w:jc w:val="both"/>
        <w:rPr>
          <w:rFonts w:ascii="Times New Roman" w:hAnsi="Times New Roman" w:cs="Times New Roman" w:eastAsia="Times New Roman"/>
          <w:color w:val="auto"/>
          <w:spacing w:val="0"/>
          <w:position w:val="0"/>
          <w:sz w:val="28"/>
          <w:shd w:fill="auto" w:val="clear"/>
        </w:rPr>
      </w:pPr>
    </w:p>
    <w:p>
      <w:pPr>
        <w:numPr>
          <w:ilvl w:val="0"/>
          <w:numId w:val="67"/>
        </w:num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 дня вступления решения суда в законную силу (а не в день принятия такого решения).</w:t>
      </w:r>
    </w:p>
    <w:p>
      <w:p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ситуаций и рекомендуемые действия (таблица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tbl>
      <w:tblPr>
        <w:tblInd w:w="108" w:type="dxa"/>
      </w:tblPr>
      <w:tblGrid>
        <w:gridCol w:w="3147"/>
        <w:gridCol w:w="7201"/>
      </w:tblGrid>
      <w:tr>
        <w:trPr>
          <w:trHeight w:val="435" w:hRule="auto"/>
          <w:jc w:val="left"/>
        </w:trPr>
        <w:tc>
          <w:tcPr>
            <w:tcW w:w="1034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Пример: служащий (работник) представляет сведения в 2022 году (за отчетный 2021 г.)</w:t>
            </w:r>
          </w:p>
        </w:tc>
      </w:tr>
      <w:tr>
        <w:trPr>
          <w:trHeight w:val="435" w:hRule="auto"/>
          <w:jc w:val="left"/>
        </w:trPr>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Брак был расторгнут в ЗАГСе в ноябре 2021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w:t>
            </w:r>
          </w:p>
        </w:tc>
        <w:tc>
          <w:tcPr>
            <w:tcW w:w="7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бывшей супруги не представляются, поскольку по состоянию на отчетную дату (31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2021 года) служащий (работник) не состоял в браке</w:t>
            </w:r>
          </w:p>
        </w:tc>
      </w:tr>
      <w:tr>
        <w:trPr>
          <w:trHeight w:val="435" w:hRule="auto"/>
          <w:jc w:val="left"/>
        </w:trPr>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Окончательное решение о расторжении брака было принято судом 12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2021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и вступило в законную силу 12 января 2022 года</w:t>
            </w:r>
          </w:p>
        </w:tc>
        <w:tc>
          <w:tcPr>
            <w:tcW w:w="7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Таким образом, по состоянию на отчетную дату (31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2021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служащий (работник) считался состоявшим в браке</w:t>
            </w:r>
          </w:p>
        </w:tc>
      </w:tr>
      <w:tr>
        <w:trPr>
          <w:trHeight w:val="435" w:hRule="auto"/>
          <w:jc w:val="left"/>
        </w:trPr>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Брак был расторгнут в ЗАГСе в марте 2022 года </w:t>
            </w:r>
          </w:p>
        </w:tc>
        <w:tc>
          <w:tcPr>
            <w:tcW w:w="7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бывшей супруги представляются, поскольку по состоянию на отчетную дату (31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2021 года) служащий (работник) состоял в браке</w:t>
            </w:r>
          </w:p>
        </w:tc>
      </w:tr>
      <w:tr>
        <w:trPr>
          <w:trHeight w:val="435" w:hRule="auto"/>
          <w:jc w:val="left"/>
        </w:trPr>
        <w:tc>
          <w:tcPr>
            <w:tcW w:w="1034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Пример: гражданин в сентябре 2022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представляет сведения в связи с подачей документов для назначения на должность. Отчетной датой является 1 августа 2022 года</w:t>
            </w:r>
          </w:p>
        </w:tc>
      </w:tr>
      <w:tr>
        <w:trPr>
          <w:trHeight w:val="435" w:hRule="auto"/>
          <w:jc w:val="left"/>
        </w:trPr>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Брак был расторгнут в ЗАГСе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июля 2022 года</w:t>
            </w:r>
          </w:p>
        </w:tc>
        <w:tc>
          <w:tcPr>
            <w:tcW w:w="7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бывшей супруги не представляются, поскольку по состоянию на отчетную дату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2022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гражданин не состоял в браке</w:t>
            </w:r>
          </w:p>
        </w:tc>
      </w:tr>
      <w:tr>
        <w:trPr>
          <w:trHeight w:val="435" w:hRule="auto"/>
          <w:jc w:val="left"/>
        </w:trPr>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Брак был расторгнут в ЗАГСе 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2022 года </w:t>
            </w:r>
          </w:p>
        </w:tc>
        <w:tc>
          <w:tcPr>
            <w:tcW w:w="7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бывшей супруги представляются, поскольку по состоянию на отчетную дату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2022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гражданин состоял в браке</w:t>
            </w:r>
          </w:p>
        </w:tc>
      </w:tr>
      <w:tr>
        <w:trPr>
          <w:trHeight w:val="435" w:hRule="auto"/>
          <w:jc w:val="left"/>
        </w:trPr>
        <w:tc>
          <w:tcPr>
            <w:tcW w:w="31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Окончательное решение о расторжении брака было принято судом 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июля 2022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и вступило в законную силу 4 августа 2022 г.</w:t>
            </w:r>
          </w:p>
        </w:tc>
        <w:tc>
          <w:tcPr>
            <w:tcW w:w="72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2022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Таким образом, по состоянию на отчетную дату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2022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гражданин считался состоявшим в браке</w:t>
            </w:r>
          </w:p>
        </w:tc>
      </w:tr>
    </w:tbl>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Несовершеннолетние дети</w:t>
      </w:r>
    </w:p>
    <w:p>
      <w:pPr>
        <w:numPr>
          <w:ilvl w:val="0"/>
          <w:numId w:val="91"/>
        </w:numPr>
        <w:tabs>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Статья</w:t>
      </w:r>
      <w:r>
        <w:rPr>
          <w:rFonts w:ascii="Times New Roman" w:hAnsi="Times New Roman" w:cs="Times New Roman" w:eastAsia="Times New Roman"/>
          <w:color w:val="auto"/>
          <w:spacing w:val="0"/>
          <w:position w:val="0"/>
          <w:sz w:val="28"/>
          <w:shd w:fill="auto" w:val="clear"/>
        </w:rPr>
        <w:t xml:space="preserve"> 60 </w:t>
      </w:r>
      <w:r>
        <w:rPr>
          <w:rFonts w:ascii="Times New Roman" w:hAnsi="Times New Roman" w:cs="Times New Roman" w:eastAsia="Times New Roman"/>
          <w:color w:val="auto"/>
          <w:spacing w:val="0"/>
          <w:position w:val="0"/>
          <w:sz w:val="28"/>
          <w:shd w:fill="auto" w:val="clear"/>
        </w:rPr>
        <w:t xml:space="preserve">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 Таким образом, ребенок считается совершеннолетним при достижении им возраста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w:t>
      </w:r>
    </w:p>
    <w:p>
      <w:pPr>
        <w:numPr>
          <w:ilvl w:val="0"/>
          <w:numId w:val="91"/>
        </w:numPr>
        <w:tabs>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Перечень ситуаций и рекомендуемые действия (таблица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tbl>
      <w:tblPr>
        <w:tblInd w:w="108" w:type="dxa"/>
      </w:tblPr>
      <w:tblGrid>
        <w:gridCol w:w="3119"/>
        <w:gridCol w:w="7229"/>
      </w:tblGrid>
      <w:tr>
        <w:trPr>
          <w:trHeight w:val="435" w:hRule="auto"/>
          <w:jc w:val="left"/>
        </w:trPr>
        <w:tc>
          <w:tcPr>
            <w:tcW w:w="1034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Пример: служащий (работник) представляет сведения в 2022 году (за отчетный 2021 г.)</w:t>
            </w:r>
          </w:p>
        </w:tc>
      </w:tr>
      <w:tr>
        <w:trPr>
          <w:trHeight w:val="435" w:hRule="auto"/>
          <w:jc w:val="left"/>
        </w:trPr>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Дочери служащего (работника) 21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мая 2021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исполнилось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w:t>
            </w:r>
          </w:p>
        </w:tc>
        <w:tc>
          <w:tcPr>
            <w:tcW w:w="72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дочери не представляются, поскольку по состоянию на отчетную дату (31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2021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дочери служащего (работника) уже исполнилось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 она являлась совершеннолетней</w:t>
            </w:r>
          </w:p>
        </w:tc>
      </w:tr>
      <w:tr>
        <w:trPr>
          <w:trHeight w:val="435" w:hRule="auto"/>
          <w:jc w:val="left"/>
        </w:trPr>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Дочери служащего (работника) 30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2021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исполнилось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w:t>
            </w:r>
          </w:p>
        </w:tc>
        <w:tc>
          <w:tcPr>
            <w:tcW w:w="72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дочери не представляются, поскольку по состоянию на отчетную дату (31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2021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дочери служащего (работника) уже исполнилось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 она являлась совершеннолетней</w:t>
            </w:r>
          </w:p>
        </w:tc>
      </w:tr>
      <w:tr>
        <w:trPr>
          <w:trHeight w:val="435" w:hRule="auto"/>
          <w:jc w:val="left"/>
        </w:trPr>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Дочери служащего (работника) 31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2021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исполнилось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w:t>
            </w:r>
          </w:p>
        </w:tc>
        <w:tc>
          <w:tcPr>
            <w:tcW w:w="72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дочери представляются, поскольку дочь служащего (работника) считается достигшей возраста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 на следующий день после дня рождения, то есть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января 2022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Таким образом, по состоянию на отчетную дату (31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2021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она еще являлась несовершеннолетней</w:t>
            </w:r>
          </w:p>
        </w:tc>
      </w:tr>
      <w:tr>
        <w:trPr>
          <w:trHeight w:val="435" w:hRule="auto"/>
          <w:jc w:val="left"/>
        </w:trPr>
        <w:tc>
          <w:tcPr>
            <w:tcW w:w="1034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Пример: гражданин представляет в сентябре 2022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сведения в связи с назначением на должность. Отчетной датой является 1 августа 2022 года</w:t>
            </w:r>
          </w:p>
        </w:tc>
      </w:tr>
      <w:tr>
        <w:trPr>
          <w:trHeight w:val="435" w:hRule="auto"/>
          <w:jc w:val="left"/>
        </w:trPr>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Сыну гражданина 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мая 2022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исполнилось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w:t>
            </w:r>
          </w:p>
        </w:tc>
        <w:tc>
          <w:tcPr>
            <w:tcW w:w="72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сына не представляются, поскольку он являлся совершеннолетним и по состоянию на отчетную дату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2022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сыну гражданина уже исполнилось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w:t>
            </w:r>
          </w:p>
        </w:tc>
      </w:tr>
      <w:tr>
        <w:trPr>
          <w:trHeight w:val="435" w:hRule="auto"/>
          <w:jc w:val="left"/>
        </w:trPr>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Сыну гражданина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2022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исполнилось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w:t>
            </w:r>
          </w:p>
        </w:tc>
        <w:tc>
          <w:tcPr>
            <w:tcW w:w="72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сына представляются, поскольку сын гражданина считается достигшим возраста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 на следующий день после дня рождения, то есть 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2022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Таким образом, по состоянию на отчетную дату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2022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он еще являлся несовершеннолетним</w:t>
            </w:r>
          </w:p>
        </w:tc>
      </w:tr>
      <w:tr>
        <w:trPr>
          <w:trHeight w:val="435" w:hRule="auto"/>
          <w:jc w:val="left"/>
        </w:trPr>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Сыну гражданина 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2022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исполнилось 18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лет</w:t>
            </w:r>
          </w:p>
        </w:tc>
        <w:tc>
          <w:tcPr>
            <w:tcW w:w="72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сына представляются, поскольку по состоянию на отчетную дату (1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августа 2022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сын гражданина являлся несовершеннолетним </w:t>
            </w:r>
          </w:p>
        </w:tc>
      </w:tr>
    </w:tbl>
    <w:p>
      <w:pPr>
        <w:numPr>
          <w:ilvl w:val="0"/>
          <w:numId w:val="114"/>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numPr>
          <w:ilvl w:val="0"/>
          <w:numId w:val="114"/>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Уточнение представленных сведений</w:t>
      </w:r>
    </w:p>
    <w:p>
      <w:pPr>
        <w:numPr>
          <w:ilvl w:val="0"/>
          <w:numId w:val="116"/>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numPr>
          <w:ilvl w:val="0"/>
          <w:numId w:val="116"/>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numPr>
          <w:ilvl w:val="0"/>
          <w:numId w:val="116"/>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Служащий (работник) может представить уточненные сведения в течение одного месяца после окончания срока представления сведений (1</w:t>
      </w:r>
      <w:r>
        <w:rPr>
          <w:rFonts w:ascii="Times New Roman" w:hAnsi="Times New Roman" w:cs="Times New Roman" w:eastAsia="Times New Roman"/>
          <w:color w:val="auto"/>
          <w:spacing w:val="0"/>
          <w:position w:val="0"/>
          <w:sz w:val="28"/>
          <w:shd w:fill="auto" w:val="clear"/>
        </w:rPr>
        <w:t xml:space="preserve"> (30) </w:t>
      </w:r>
      <w:r>
        <w:rPr>
          <w:rFonts w:ascii="Times New Roman" w:hAnsi="Times New Roman" w:cs="Times New Roman" w:eastAsia="Times New Roman"/>
          <w:color w:val="auto"/>
          <w:spacing w:val="0"/>
          <w:position w:val="0"/>
          <w:sz w:val="28"/>
          <w:shd w:fill="auto" w:val="clear"/>
        </w:rPr>
        <w:t xml:space="preserve">апреля года, следующего за отчетным), а именно включительно в срок до 1 (31) мая года, следующего за отчетным.</w:t>
      </w:r>
    </w:p>
    <w:p>
      <w:pPr>
        <w:numPr>
          <w:ilvl w:val="0"/>
          <w:numId w:val="116"/>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pPr>
        <w:numPr>
          <w:ilvl w:val="0"/>
          <w:numId w:val="116"/>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Рекомендуемые действия при невозможности представить сведения в отношении члена семьи</w:t>
      </w:r>
    </w:p>
    <w:p>
      <w:pPr>
        <w:numPr>
          <w:ilvl w:val="0"/>
          <w:numId w:val="118"/>
        </w:numPr>
        <w:tabs>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февраля 2011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233 "</w:t>
      </w:r>
      <w:r>
        <w:rPr>
          <w:rFonts w:ascii="Times New Roman" w:hAnsi="Times New Roman" w:cs="Times New Roman" w:eastAsia="Times New Roman"/>
          <w:color w:val="auto"/>
          <w:spacing w:val="0"/>
          <w:position w:val="0"/>
          <w:sz w:val="28"/>
          <w:shd w:fill="auto" w:val="clear"/>
        </w:rPr>
        <w:t xml:space="preserve">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июля 2010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821 "</w:t>
      </w:r>
      <w:r>
        <w:rPr>
          <w:rFonts w:ascii="Times New Roman" w:hAnsi="Times New Roman" w:cs="Times New Roman" w:eastAsia="Times New Roman"/>
          <w:color w:val="auto"/>
          <w:spacing w:val="0"/>
          <w:position w:val="0"/>
          <w:sz w:val="28"/>
          <w:shd w:fill="auto" w:val="clear"/>
        </w:rPr>
        <w:t xml:space="preserve">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октября 2017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472 "</w:t>
      </w:r>
      <w:r>
        <w:rPr>
          <w:rFonts w:ascii="Times New Roman" w:hAnsi="Times New Roman" w:cs="Times New Roman" w:eastAsia="Times New Roman"/>
          <w:color w:val="auto"/>
          <w:spacing w:val="0"/>
          <w:position w:val="0"/>
          <w:sz w:val="28"/>
          <w:shd w:fill="auto" w:val="clear"/>
        </w:rPr>
        <w:t xml:space="preserve">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460".</w:t>
      </w:r>
    </w:p>
    <w:p>
      <w:pPr>
        <w:tabs>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numPr>
          <w:ilvl w:val="0"/>
          <w:numId w:val="120"/>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должно быть направлено до истечения срока, установленного для представления служащим (работником) сведений.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Заявление подается (таблица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4):</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tbl>
      <w:tblPr>
        <w:tblInd w:w="108" w:type="dxa"/>
      </w:tblPr>
      <w:tblGrid>
        <w:gridCol w:w="3223"/>
        <w:gridCol w:w="7125"/>
      </w:tblGrid>
      <w:tr>
        <w:trPr>
          <w:trHeight w:val="1" w:hRule="atLeast"/>
          <w:jc w:val="left"/>
        </w:trPr>
        <w:tc>
          <w:tcPr>
            <w:tcW w:w="322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Управление Президента Российской Федерации по вопросам противодействия коррупции</w:t>
            </w:r>
          </w:p>
        </w:tc>
        <w:tc>
          <w:tcPr>
            <w:tcW w:w="71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trPr>
          <w:trHeight w:val="1" w:hRule="atLeast"/>
          <w:jc w:val="left"/>
        </w:trPr>
        <w:tc>
          <w:tcPr>
            <w:tcW w:w="322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Департамент кадров Правительства Российской Федерации </w:t>
            </w:r>
          </w:p>
        </w:tc>
        <w:tc>
          <w:tcPr>
            <w:tcW w:w="71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rPr>
          <w:trHeight w:val="1" w:hRule="atLeast"/>
          <w:jc w:val="left"/>
        </w:trPr>
        <w:tc>
          <w:tcPr>
            <w:tcW w:w="322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подразделение кадровой службы федерального государственного органа по профилактике коррупционных и иных правонарушений</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rPr>
          <w:trHeight w:val="1" w:hRule="atLeast"/>
          <w:jc w:val="left"/>
        </w:trPr>
        <w:tc>
          <w:tcPr>
            <w:tcW w:w="322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trPr>
          <w:trHeight w:val="1" w:hRule="atLeast"/>
          <w:jc w:val="left"/>
        </w:trPr>
        <w:tc>
          <w:tcPr>
            <w:tcW w:w="3223"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подразделение по профилактике коррупционных и иных правонарушений Центрального банка Российской Федерации </w:t>
            </w:r>
          </w:p>
        </w:tc>
        <w:tc>
          <w:tcPr>
            <w:tcW w:w="7125"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33"/>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trPr>
          <w:trHeight w:val="1" w:hRule="atLeast"/>
          <w:jc w:val="left"/>
        </w:trPr>
        <w:tc>
          <w:tcPr>
            <w:tcW w:w="3223"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0" w:line="240"/>
              <w:ind w:right="0" w:left="0" w:firstLine="33"/>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numPr>
          <w:ilvl w:val="0"/>
          <w:numId w:val="14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служащих (работников) право направить заявление о невозможности представить сведения о </w:t>
      </w:r>
      <w:r>
        <w:rPr>
          <w:rFonts w:ascii="Times New Roman" w:hAnsi="Times New Roman" w:cs="Times New Roman" w:eastAsia="Times New Roman"/>
          <w:b/>
          <w:color w:val="auto"/>
          <w:spacing w:val="0"/>
          <w:position w:val="0"/>
          <w:sz w:val="28"/>
          <w:shd w:fill="auto" w:val="clear"/>
        </w:rPr>
        <w:t xml:space="preserve">своих</w:t>
      </w:r>
      <w:r>
        <w:rPr>
          <w:rFonts w:ascii="Times New Roman" w:hAnsi="Times New Roman" w:cs="Times New Roman" w:eastAsia="Times New Roman"/>
          <w:color w:val="auto"/>
          <w:spacing w:val="0"/>
          <w:position w:val="0"/>
          <w:sz w:val="28"/>
          <w:shd w:fill="auto" w:val="clear"/>
        </w:rPr>
        <w:t xml:space="preserve"> доходах, расходах, об имуществе и обязательствах имущественного характера законодательством не предусмотрено. </w:t>
      </w:r>
    </w:p>
    <w:p>
      <w:pPr>
        <w:numPr>
          <w:ilvl w:val="0"/>
          <w:numId w:val="14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II. </w:t>
      </w:r>
      <w:r>
        <w:rPr>
          <w:rFonts w:ascii="Times New Roman" w:hAnsi="Times New Roman" w:cs="Times New Roman" w:eastAsia="Times New Roman"/>
          <w:b/>
          <w:color w:val="auto"/>
          <w:spacing w:val="0"/>
          <w:position w:val="0"/>
          <w:sz w:val="28"/>
          <w:shd w:fill="auto" w:val="clear"/>
        </w:rPr>
        <w:t xml:space="preserve">Заполнение справки о доходах, расходах, об имуществе и обязательствах имущественного характера</w:t>
      </w:r>
    </w:p>
    <w:p>
      <w:pPr>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p>
    <w:p>
      <w:pPr>
        <w:numPr>
          <w:ilvl w:val="0"/>
          <w:numId w:val="144"/>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 справки является унифицированной для всех лиц, на которых распространяется обязанность представлять сведения.</w:t>
      </w:r>
    </w:p>
    <w:p>
      <w:pPr>
        <w:numPr>
          <w:ilvl w:val="0"/>
          <w:numId w:val="144"/>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Например, заполнение справки на основании полученной информации из единой формы, установленной Указанием Банка России от 27 мая 2021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5798-</w:t>
      </w:r>
      <w:r>
        <w:rPr>
          <w:rFonts w:ascii="Times New Roman" w:hAnsi="Times New Roman" w:cs="Times New Roman" w:eastAsia="Times New Roman"/>
          <w:color w:val="auto"/>
          <w:spacing w:val="0"/>
          <w:position w:val="0"/>
          <w:sz w:val="28"/>
          <w:shd w:fill="auto" w:val="clear"/>
        </w:rPr>
        <w:t xml:space="preserve">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Указание Банка России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5798-</w:t>
      </w:r>
      <w:r>
        <w:rPr>
          <w:rFonts w:ascii="Times New Roman" w:hAnsi="Times New Roman" w:cs="Times New Roman" w:eastAsia="Times New Roman"/>
          <w:color w:val="auto"/>
          <w:spacing w:val="0"/>
          <w:position w:val="0"/>
          <w:sz w:val="28"/>
          <w:shd w:fill="auto" w:val="clear"/>
        </w:rPr>
        <w:t xml:space="preserve">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справке могут быть приложены любые документы, в том числе пояснения служащего (работника).</w:t>
      </w:r>
    </w:p>
    <w:p>
      <w:pPr>
        <w:numPr>
          <w:ilvl w:val="0"/>
          <w:numId w:val="146"/>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Справка заполняется с использованием специального программного обеспечения "Справки БК" (далее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СПО "Справки БК"). При печати справки формируются зоны со служебной информацией (штриховые коды и т.п.), нанесение каких-либо пометок на которые не допускается.</w:t>
      </w:r>
    </w:p>
    <w:p>
      <w:pPr>
        <w:numPr>
          <w:ilvl w:val="0"/>
          <w:numId w:val="146"/>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СПО "Справки БК" размещено на официальном сайте Президента Российской Федерации (</w:t>
      </w:r>
      <w:hyperlink xmlns:r="http://schemas.openxmlformats.org/officeDocument/2006/relationships" r:id="docRId7">
        <w:r>
          <w:rPr>
            <w:rFonts w:ascii="Times New Roman" w:hAnsi="Times New Roman" w:cs="Times New Roman" w:eastAsia="Times New Roman"/>
            <w:color w:val="0000FF"/>
            <w:spacing w:val="0"/>
            <w:position w:val="0"/>
            <w:sz w:val="28"/>
            <w:u w:val="single"/>
            <w:shd w:fill="auto" w:val="clear"/>
          </w:rPr>
          <w:t xml:space="preserve">http://www.kremlin.ru/structure/additional/12</w:t>
        </w:r>
      </w:hyperlink>
      <w:r>
        <w:rPr>
          <w:rFonts w:ascii="Times New Roman" w:hAnsi="Times New Roman" w:cs="Times New Roman" w:eastAsia="Times New Roman"/>
          <w:color w:val="auto"/>
          <w:spacing w:val="0"/>
          <w:position w:val="0"/>
          <w:sz w:val="28"/>
          <w:shd w:fill="auto" w:val="clear"/>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xmlns:r="http://schemas.openxmlformats.org/officeDocument/2006/relationships" r:id="docRId8">
        <w:r>
          <w:rPr>
            <w:rFonts w:ascii="Times New Roman" w:hAnsi="Times New Roman" w:cs="Times New Roman" w:eastAsia="Times New Roman"/>
            <w:color w:val="0000FF"/>
            <w:spacing w:val="0"/>
            <w:position w:val="0"/>
            <w:sz w:val="28"/>
            <w:u w:val="single"/>
            <w:shd w:fill="auto" w:val="clear"/>
          </w:rPr>
          <w:t xml:space="preserve">https://gossluzhba.gov.ru/anticorruption/spravki_bk</w:t>
        </w:r>
      </w:hyperlink>
      <w:r>
        <w:rPr>
          <w:rFonts w:ascii="Times New Roman" w:hAnsi="Times New Roman" w:cs="Times New Roman" w:eastAsia="Times New Roman"/>
          <w:color w:val="auto"/>
          <w:spacing w:val="0"/>
          <w:position w:val="0"/>
          <w:sz w:val="28"/>
          <w:shd w:fill="auto" w:val="clear"/>
        </w:rPr>
        <w:t xml:space="preserve">).</w:t>
      </w:r>
    </w:p>
    <w:p>
      <w:pPr>
        <w:numPr>
          <w:ilvl w:val="0"/>
          <w:numId w:val="146"/>
        </w:num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auto" w:val="clear"/>
        </w:rPr>
        <w:t xml:space="preserve">При заполнении справок с использованием СПО "Справки БК" личной подписью заверяется только последний лист справки.</w:t>
      </w:r>
      <w:r>
        <w:rPr>
          <w:rFonts w:ascii="Times New Roman" w:hAnsi="Times New Roman" w:cs="Times New Roman" w:eastAsia="Times New Roman"/>
          <w:color w:val="1F497D"/>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Наличие подписи на каждом листе (в пустой части страницы) не является нарушением.</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FFFF00" w:val="clear"/>
        </w:rPr>
        <w:t xml:space="preserve">Лицу, представляющему справки, рекомендуется распечатать и подписать справки в течение одного дня (одной датой).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печати справок используется лазерный принтер, обеспечивающий качественную печать;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допускаются дефекты печати в виде полос, пятен (при дефектах барабана или картриджа принтера);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допускаются рукописные правки.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Справки не следует прошивать и фиксировать скрепкой.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Печатать справки рекомендуется только на одной стороне листа.</w:t>
      </w:r>
    </w:p>
    <w:p>
      <w:pPr>
        <w:tabs>
          <w:tab w:val="left" w:pos="851"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851"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ТИТУЛЬНЫЙ ЛИСТ</w:t>
      </w:r>
    </w:p>
    <w:p>
      <w:pPr>
        <w:tabs>
          <w:tab w:val="left" w:pos="851" w:leader="none"/>
        </w:tabs>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p>
    <w:p>
      <w:pPr>
        <w:numPr>
          <w:ilvl w:val="0"/>
          <w:numId w:val="150"/>
        </w:num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титульного листа справки рекомендуется обратить внимание на следующее:</w:t>
      </w:r>
    </w:p>
    <w:p>
      <w:p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w:t>
      </w:r>
      <w:r>
        <w:rPr>
          <w:rFonts w:ascii="Times New Roman" w:hAnsi="Times New Roman" w:cs="Times New Roman" w:eastAsia="Times New Roman"/>
          <w:color w:val="1F497D"/>
          <w:spacing w:val="0"/>
          <w:position w:val="0"/>
          <w:sz w:val="28"/>
          <w:shd w:fill="auto" w:val="clear"/>
        </w:rPr>
        <w:t xml:space="preserve">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FFFFFF" w:val="clear"/>
        </w:rPr>
        <w:t xml:space="preserve">полностью, без</w:t>
      </w:r>
      <w:r>
        <w:rPr>
          <w:rFonts w:ascii="Times New Roman" w:hAnsi="Times New Roman" w:cs="Times New Roman" w:eastAsia="Times New Roman"/>
          <w:color w:val="000000"/>
          <w:spacing w:val="0"/>
          <w:position w:val="0"/>
          <w:sz w:val="28"/>
          <w:shd w:fill="FFFFFF" w:val="clear"/>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cs="Times New Roman" w:eastAsia="Times New Roman"/>
          <w:color w:val="auto"/>
          <w:spacing w:val="0"/>
          <w:position w:val="0"/>
          <w:sz w:val="28"/>
          <w:shd w:fill="auto" w:val="clear"/>
        </w:rPr>
        <w:t xml:space="preserve">удостоверяющего личность документа указываются по состоянию на дату представления справки)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auto"/>
          <w:spacing w:val="0"/>
          <w:position w:val="0"/>
          <w:sz w:val="28"/>
          <w:shd w:fill="auto" w:val="clear"/>
        </w:rPr>
        <w:t xml:space="preserve">Серия свидетельства о рождении указывается по формату: римские цифры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латинской раскладке клавиатуры, русские буквы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русской;</w:t>
      </w:r>
    </w:p>
    <w:p>
      <w:p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дата рождения (год рождения) указывается</w:t>
      </w:r>
      <w:r>
        <w:rPr>
          <w:rFonts w:ascii="Times New Roman" w:hAnsi="Times New Roman" w:cs="Times New Roman" w:eastAsia="Times New Roman"/>
          <w:color w:val="000000"/>
          <w:spacing w:val="0"/>
          <w:position w:val="0"/>
          <w:sz w:val="28"/>
          <w:shd w:fill="FFFFFF" w:val="clear"/>
        </w:rPr>
        <w:t xml:space="preserve"> в соответствии с записью в документе, удостоверяющем личность</w:t>
      </w:r>
      <w:r>
        <w:rPr>
          <w:rFonts w:ascii="Times New Roman" w:hAnsi="Times New Roman" w:cs="Times New Roman" w:eastAsia="Times New Roman"/>
          <w:color w:val="auto"/>
          <w:spacing w:val="0"/>
          <w:position w:val="0"/>
          <w:sz w:val="28"/>
          <w:shd w:fill="auto" w:val="clear"/>
        </w:rPr>
        <w:t xml:space="preserve">;</w:t>
      </w:r>
    </w:p>
    <w:p>
      <w:p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страховой номер индивидуального лицевого счета (СНИЛС) указывается при наличии. При этом в соответствии с Федеральным законом от 1 апреля 1996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27-</w:t>
      </w:r>
      <w:r>
        <w:rPr>
          <w:rFonts w:ascii="Times New Roman" w:hAnsi="Times New Roman" w:cs="Times New Roman" w:eastAsia="Times New Roman"/>
          <w:color w:val="auto"/>
          <w:spacing w:val="0"/>
          <w:position w:val="0"/>
          <w:sz w:val="28"/>
          <w:shd w:fill="auto" w:val="clear"/>
        </w:rPr>
        <w:t xml:space="preserve">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tabs>
          <w:tab w:val="left" w:pos="567" w:leader="none"/>
        </w:tabs>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4) </w:t>
      </w:r>
      <w:r>
        <w:rPr>
          <w:rFonts w:ascii="Times New Roman" w:hAnsi="Times New Roman" w:cs="Times New Roman" w:eastAsia="Times New Roman"/>
          <w:color w:val="000000"/>
          <w:spacing w:val="0"/>
          <w:position w:val="0"/>
          <w:sz w:val="28"/>
          <w:shd w:fill="FFFFFF" w:val="clear"/>
        </w:rPr>
        <w:t xml:space="preserve">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cs="Times New Roman" w:eastAsia="Times New Roman"/>
          <w:color w:val="auto"/>
          <w:spacing w:val="0"/>
          <w:position w:val="0"/>
          <w:sz w:val="28"/>
          <w:shd w:fill="auto" w:val="clear"/>
        </w:rPr>
        <w:t xml:space="preserve">(с 1 января по 1</w:t>
      </w:r>
      <w:r>
        <w:rPr>
          <w:rFonts w:ascii="Times New Roman" w:hAnsi="Times New Roman" w:cs="Times New Roman" w:eastAsia="Times New Roman"/>
          <w:color w:val="auto"/>
          <w:spacing w:val="0"/>
          <w:position w:val="0"/>
          <w:sz w:val="28"/>
          <w:shd w:fill="auto" w:val="clear"/>
        </w:rPr>
        <w:t xml:space="preserve"> (30) </w:t>
      </w:r>
      <w:r>
        <w:rPr>
          <w:rFonts w:ascii="Times New Roman" w:hAnsi="Times New Roman" w:cs="Times New Roman" w:eastAsia="Times New Roman"/>
          <w:color w:val="auto"/>
          <w:spacing w:val="0"/>
          <w:position w:val="0"/>
          <w:sz w:val="28"/>
          <w:shd w:fill="auto" w:val="clear"/>
        </w:rPr>
        <w:t xml:space="preserve">апреля года, следующего за отчетным)</w:t>
      </w:r>
      <w:r>
        <w:rPr>
          <w:rFonts w:ascii="Times New Roman" w:hAnsi="Times New Roman" w:cs="Times New Roman" w:eastAsia="Times New Roman"/>
          <w:color w:val="000000"/>
          <w:spacing w:val="0"/>
          <w:position w:val="0"/>
          <w:sz w:val="28"/>
          <w:shd w:fill="FFFFFF" w:val="clear"/>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cs="Times New Roman" w:eastAsia="Times New Roman"/>
          <w:color w:val="auto"/>
          <w:spacing w:val="0"/>
          <w:position w:val="0"/>
          <w:sz w:val="28"/>
          <w:shd w:fill="auto" w:val="clear"/>
        </w:rPr>
        <w:t xml:space="preserve">или "находится на домашнем воспитании".</w:t>
      </w:r>
    </w:p>
    <w:p>
      <w:p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cs="Times New Roman" w:eastAsia="Times New Roman"/>
          <w:color w:val="auto"/>
          <w:spacing w:val="0"/>
          <w:position w:val="0"/>
          <w:sz w:val="28"/>
          <w:shd w:fill="auto" w:val="clear"/>
        </w:rPr>
        <w:t xml:space="preserve"> или "домохозяйка" ("домохозяин")</w:t>
      </w:r>
      <w:r>
        <w:rPr>
          <w:rFonts w:ascii="Times New Roman" w:hAnsi="Times New Roman" w:cs="Times New Roman" w:eastAsia="Times New Roman"/>
          <w:color w:val="auto"/>
          <w:spacing w:val="0"/>
          <w:position w:val="0"/>
          <w:sz w:val="28"/>
          <w:shd w:fill="FFFFFF" w:val="clear"/>
        </w:rPr>
        <w:t xml:space="preserve">.</w:t>
      </w:r>
    </w:p>
    <w:p>
      <w:p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FF" w:val="clear"/>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FFFFFF" w:val="clear"/>
        </w:rPr>
        <w:t xml:space="preserve">осуществляющий уход за нетрудоспособным гражданином</w:t>
      </w:r>
      <w:r>
        <w:rPr>
          <w:rFonts w:ascii="Times New Roman" w:hAnsi="Times New Roman" w:cs="Times New Roman" w:eastAsia="Times New Roman"/>
          <w:color w:val="auto"/>
          <w:spacing w:val="0"/>
          <w:position w:val="0"/>
          <w:sz w:val="28"/>
          <w:shd w:fill="auto" w:val="clear"/>
        </w:rPr>
        <w:t xml:space="preserve">".</w:t>
      </w:r>
    </w:p>
    <w:p>
      <w:p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230-</w:t>
      </w:r>
      <w:r>
        <w:rPr>
          <w:rFonts w:ascii="Times New Roman" w:hAnsi="Times New Roman" w:cs="Times New Roman" w:eastAsia="Times New Roman"/>
          <w:color w:val="auto"/>
          <w:spacing w:val="0"/>
          <w:position w:val="0"/>
          <w:sz w:val="28"/>
          <w:shd w:fill="auto" w:val="clear"/>
        </w:rPr>
        <w:t xml:space="preserve">ФЗ "О контроле за соответствием расходов лиц, замещающих государственные должности, и иных лиц их доходам";</w:t>
      </w:r>
    </w:p>
    <w:p>
      <w:p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FF" w:val="clear"/>
        </w:rPr>
        <w:t xml:space="preserve">5) </w:t>
      </w:r>
      <w:r>
        <w:rPr>
          <w:rFonts w:ascii="Times New Roman" w:hAnsi="Times New Roman" w:cs="Times New Roman" w:eastAsia="Times New Roman"/>
          <w:color w:val="auto"/>
          <w:spacing w:val="0"/>
          <w:position w:val="0"/>
          <w:sz w:val="28"/>
          <w:shd w:fill="FFFFFF" w:val="clear"/>
        </w:rPr>
        <w:t xml:space="preserve">при наличии на отчетную дату нескольких мест работы на титульном листе справки </w:t>
      </w:r>
      <w:r>
        <w:rPr>
          <w:rFonts w:ascii="Times New Roman" w:hAnsi="Times New Roman" w:cs="Times New Roman" w:eastAsia="Times New Roman"/>
          <w:color w:val="auto"/>
          <w:spacing w:val="0"/>
          <w:position w:val="0"/>
          <w:sz w:val="28"/>
          <w:shd w:fill="auto" w:val="clear"/>
        </w:rPr>
        <w:t xml:space="preserve">обязательно</w:t>
      </w:r>
      <w:r>
        <w:rPr>
          <w:rFonts w:ascii="Times New Roman" w:hAnsi="Times New Roman" w:cs="Times New Roman" w:eastAsia="Times New Roman"/>
          <w:color w:val="auto"/>
          <w:spacing w:val="0"/>
          <w:position w:val="0"/>
          <w:sz w:val="28"/>
          <w:shd w:fill="FFFFFF" w:val="clear"/>
        </w:rPr>
        <w:t xml:space="preserve"> указывается основное место работы, т.е. </w:t>
      </w:r>
      <w:r>
        <w:rPr>
          <w:rFonts w:ascii="Times New Roman" w:hAnsi="Times New Roman" w:cs="Times New Roman" w:eastAsia="Times New Roman"/>
          <w:color w:val="auto"/>
          <w:spacing w:val="0"/>
          <w:position w:val="0"/>
          <w:sz w:val="28"/>
          <w:shd w:fill="auto" w:val="clear"/>
        </w:rPr>
        <w:t xml:space="preserve">организация, в которой находится трудовая книжка. При этом рекомендуется указать и иные места работы.</w:t>
      </w:r>
    </w:p>
    <w:p>
      <w:p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pPr>
        <w:tabs>
          <w:tab w:val="left" w:pos="567"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6) </w:t>
      </w:r>
      <w:r>
        <w:rPr>
          <w:rFonts w:ascii="Times New Roman" w:hAnsi="Times New Roman" w:cs="Times New Roman" w:eastAsia="Times New Roman"/>
          <w:color w:val="000000"/>
          <w:spacing w:val="0"/>
          <w:position w:val="0"/>
          <w:sz w:val="28"/>
          <w:shd w:fill="FFFFFF" w:val="clear"/>
        </w:rPr>
        <w:t xml:space="preserve">а</w:t>
      </w:r>
      <w:r>
        <w:rPr>
          <w:rFonts w:ascii="Times New Roman" w:hAnsi="Times New Roman" w:cs="Times New Roman" w:eastAsia="Times New Roman"/>
          <w:color w:val="auto"/>
          <w:spacing w:val="0"/>
          <w:position w:val="0"/>
          <w:sz w:val="28"/>
          <w:shd w:fill="auto" w:val="clear"/>
        </w:rPr>
        <w:t xml:space="preserve">дрес места регистрации указывается </w:t>
      </w:r>
      <w:r>
        <w:rPr>
          <w:rFonts w:ascii="Times New Roman" w:hAnsi="Times New Roman" w:cs="Times New Roman" w:eastAsia="Times New Roman"/>
          <w:color w:val="auto"/>
          <w:spacing w:val="0"/>
          <w:position w:val="0"/>
          <w:sz w:val="28"/>
          <w:shd w:fill="FFFFFF" w:val="clear"/>
        </w:rPr>
        <w:t xml:space="preserve">по состоянию на дату представления справки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auto"/>
          <w:spacing w:val="0"/>
          <w:position w:val="0"/>
          <w:sz w:val="28"/>
          <w:shd w:fill="auto" w:val="clear"/>
        </w:rPr>
        <w:t xml:space="preserve">на основании записи в паспорте</w:t>
      </w:r>
      <w:r>
        <w:rPr>
          <w:rFonts w:ascii="Times New Roman" w:hAnsi="Times New Roman" w:cs="Times New Roman" w:eastAsia="Times New Roman"/>
          <w:color w:val="000000"/>
          <w:spacing w:val="0"/>
          <w:position w:val="0"/>
          <w:sz w:val="28"/>
          <w:shd w:fill="FFFFFF" w:val="clear"/>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cs="Times New Roman" w:eastAsia="Times New Roman"/>
          <w:color w:val="auto"/>
          <w:spacing w:val="0"/>
          <w:position w:val="0"/>
          <w:sz w:val="28"/>
          <w:shd w:fill="auto" w:val="clear"/>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1. СВЕДЕНИЯ О ДОХОДАХ</w:t>
      </w:r>
    </w:p>
    <w:p>
      <w:pPr>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p>
    <w:p>
      <w:pPr>
        <w:numPr>
          <w:ilvl w:val="0"/>
          <w:numId w:val="155"/>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данного раздела справки не следует руководствоваться только содержанием термина "доход", определенным в статье</w:t>
      </w:r>
      <w:r>
        <w:rPr>
          <w:rFonts w:ascii="Times New Roman" w:hAnsi="Times New Roman" w:cs="Times New Roman" w:eastAsia="Times New Roman"/>
          <w:color w:val="auto"/>
          <w:spacing w:val="0"/>
          <w:position w:val="0"/>
          <w:sz w:val="28"/>
          <w:shd w:fill="auto" w:val="clear"/>
        </w:rPr>
        <w:t xml:space="preserve"> 41 </w:t>
      </w:r>
      <w:r>
        <w:rPr>
          <w:rFonts w:ascii="Times New Roman" w:hAnsi="Times New Roman" w:cs="Times New Roman" w:eastAsia="Times New Roman"/>
          <w:color w:val="auto"/>
          <w:spacing w:val="0"/>
          <w:position w:val="0"/>
          <w:sz w:val="28"/>
          <w:shd w:fill="auto" w:val="clear"/>
        </w:rPr>
        <w:t xml:space="preserve">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tabs>
          <w:tab w:val="left" w:pos="1134"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Доход по основному месту работы</w:t>
      </w:r>
    </w:p>
    <w:p>
      <w:pPr>
        <w:numPr>
          <w:ilvl w:val="0"/>
          <w:numId w:val="157"/>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2-НДФЛ, выдаваемой по месту службы (работы) (графа "Общая сумма дохода"). Если по основному месту работы получен доход, который не включен в справку по форме 2-НДФЛ, он подлежит указанию в иных доходах.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pPr>
        <w:numPr>
          <w:ilvl w:val="0"/>
          <w:numId w:val="159"/>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Особенности заполнения данного раздела отдельными категориями лиц</w:t>
      </w:r>
    </w:p>
    <w:p>
      <w:pPr>
        <w:numPr>
          <w:ilvl w:val="0"/>
          <w:numId w:val="16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pPr>
        <w:numPr>
          <w:ilvl w:val="0"/>
          <w:numId w:val="163"/>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данного раздела лицом, замещающим муниципальную должность на непостоянной основе, указывается доход по основному месту работы.</w:t>
      </w:r>
    </w:p>
    <w:p>
      <w:pPr>
        <w:numPr>
          <w:ilvl w:val="0"/>
          <w:numId w:val="163"/>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numPr>
          <w:ilvl w:val="0"/>
          <w:numId w:val="163"/>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pPr>
        <w:tabs>
          <w:tab w:val="left" w:pos="1276"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Доход от педагогической и научной деятельности</w:t>
      </w:r>
    </w:p>
    <w:p>
      <w:pPr>
        <w:numPr>
          <w:ilvl w:val="0"/>
          <w:numId w:val="165"/>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numPr>
          <w:ilvl w:val="0"/>
          <w:numId w:val="165"/>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Доход от иной творческой деятельности</w:t>
      </w:r>
    </w:p>
    <w:p>
      <w:pPr>
        <w:numPr>
          <w:ilvl w:val="0"/>
          <w:numId w:val="167"/>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numPr>
          <w:ilvl w:val="0"/>
          <w:numId w:val="167"/>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tabs>
          <w:tab w:val="left" w:pos="1134"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Доход от вкладов в банках и иных кредитных организациях</w:t>
      </w:r>
    </w:p>
    <w:p>
      <w:pPr>
        <w:numPr>
          <w:ilvl w:val="0"/>
          <w:numId w:val="169"/>
        </w:numPr>
        <w:spacing w:before="0" w:after="0" w:line="240"/>
        <w:ind w:right="0" w:left="0" w:firstLine="567"/>
        <w:jc w:val="both"/>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28"/>
          <w:shd w:fill="auto" w:val="clear"/>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numPr>
          <w:ilvl w:val="0"/>
          <w:numId w:val="169"/>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 наличии соответствующих банковских счетов и вкладов указываются в разделе 4 справки.</w:t>
      </w:r>
    </w:p>
    <w:p>
      <w:pPr>
        <w:numPr>
          <w:ilvl w:val="0"/>
          <w:numId w:val="169"/>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Доход, полученный в иностранной валюте, указывается в рублях по курсу Банка России на дату получения дохода. </w:t>
      </w:r>
    </w:p>
    <w:p>
      <w:pPr>
        <w:numPr>
          <w:ilvl w:val="0"/>
          <w:numId w:val="169"/>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pPr>
        <w:numPr>
          <w:ilvl w:val="0"/>
          <w:numId w:val="169"/>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xmlns:r="http://schemas.openxmlformats.org/officeDocument/2006/relationships" r:id="docRId9">
        <w:r>
          <w:rPr>
            <w:rFonts w:ascii="Times New Roman" w:hAnsi="Times New Roman" w:cs="Times New Roman" w:eastAsia="Times New Roman"/>
            <w:color w:val="0000FF"/>
            <w:spacing w:val="0"/>
            <w:position w:val="0"/>
            <w:sz w:val="28"/>
            <w:u w:val="single"/>
            <w:shd w:fill="auto" w:val="clear"/>
          </w:rPr>
          <w:t xml:space="preserve">https://www.cbr.ru/currency_base/daily/</w:t>
        </w:r>
      </w:hyperlink>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pPr>
        <w:numPr>
          <w:ilvl w:val="0"/>
          <w:numId w:val="17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5798-</w:t>
      </w:r>
      <w:r>
        <w:rPr>
          <w:rFonts w:ascii="Times New Roman" w:hAnsi="Times New Roman" w:cs="Times New Roman" w:eastAsia="Times New Roman"/>
          <w:color w:val="auto"/>
          <w:spacing w:val="0"/>
          <w:position w:val="0"/>
          <w:sz w:val="28"/>
          <w:shd w:fill="auto" w:val="clear"/>
        </w:rPr>
        <w:t xml:space="preserve">У.</w:t>
      </w:r>
    </w:p>
    <w:p>
      <w:pPr>
        <w:numPr>
          <w:ilvl w:val="0"/>
          <w:numId w:val="17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numPr>
          <w:ilvl w:val="0"/>
          <w:numId w:val="17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tabs>
          <w:tab w:val="left" w:pos="1276"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Доход от ценных бумаг и долей участия в коммерческих организациях</w:t>
      </w:r>
    </w:p>
    <w:p>
      <w:pPr>
        <w:numPr>
          <w:ilvl w:val="0"/>
          <w:numId w:val="173"/>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дивиденды, полученные служащим (работником), членом его семьи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выплаченный купонный доход по облигациям, уменьшенный на уплаченный накопленный купонный доход при приобретении облигации;</w:t>
      </w:r>
    </w:p>
    <w:p>
      <w:p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auto" w:val="clear"/>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w:t>
      </w:r>
      <w:r>
        <w:rPr>
          <w:rFonts w:ascii="Times New Roman" w:hAnsi="Times New Roman" w:cs="Times New Roman" w:eastAsia="Times New Roman"/>
          <w:color w:val="auto"/>
          <w:spacing w:val="0"/>
          <w:position w:val="0"/>
          <w:sz w:val="28"/>
          <w:shd w:fill="auto" w:val="clear"/>
        </w:rPr>
        <w:t xml:space="preserve"> 5 </w:t>
      </w:r>
      <w:r>
        <w:rPr>
          <w:rFonts w:ascii="Times New Roman" w:hAnsi="Times New Roman" w:cs="Times New Roman" w:eastAsia="Times New Roman"/>
          <w:color w:val="auto"/>
          <w:spacing w:val="0"/>
          <w:position w:val="0"/>
          <w:sz w:val="28"/>
          <w:shd w:fill="auto" w:val="clear"/>
        </w:rPr>
        <w:t xml:space="preserve">справки (в случае если по состоянию на отчетную дату служащий (работник), член его семьи обладал такими бумагами).</w:t>
      </w:r>
    </w:p>
    <w:p>
      <w:p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p>
    <w:p>
      <w:pPr>
        <w:tabs>
          <w:tab w:val="left" w:pos="1276" w:leader="none"/>
        </w:tabs>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Иные доходы</w:t>
      </w:r>
    </w:p>
    <w:p>
      <w:pPr>
        <w:numPr>
          <w:ilvl w:val="0"/>
          <w:numId w:val="176"/>
        </w:numPr>
        <w:tabs>
          <w:tab w:val="left" w:pos="142" w:leader="none"/>
        </w:tabs>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данной строке указываются доходы, которые не были отражены в строках 1-5 справки. </w:t>
      </w:r>
    </w:p>
    <w:p>
      <w:pPr>
        <w:tabs>
          <w:tab w:val="left" w:pos="142" w:leader="none"/>
        </w:tabs>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Так, например, в строке иные доходы могут быть указаны: </w:t>
      </w:r>
    </w:p>
    <w:p>
      <w:pPr>
        <w:numPr>
          <w:ilvl w:val="0"/>
          <w:numId w:val="178"/>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государственная и негосударственная пенсии </w:t>
      </w:r>
      <w:r>
        <w:rPr>
          <w:rFonts w:ascii="Times New Roman" w:hAnsi="Times New Roman" w:cs="Times New Roman" w:eastAsia="Times New Roman"/>
          <w:color w:val="auto"/>
          <w:spacing w:val="0"/>
          <w:position w:val="0"/>
          <w:sz w:val="28"/>
          <w:shd w:fill="auto" w:val="clear"/>
        </w:rPr>
        <w:t xml:space="preserve">(при этом разные виды пенсий (по возрасту и пенсия военнослужащего) не следует суммировать)</w:t>
      </w:r>
      <w:r>
        <w:rPr>
          <w:rFonts w:ascii="Times New Roman" w:hAnsi="Times New Roman" w:cs="Times New Roman" w:eastAsia="Times New Roman"/>
          <w:color w:val="auto"/>
          <w:spacing w:val="0"/>
          <w:position w:val="0"/>
          <w:sz w:val="28"/>
          <w:shd w:fill="FFFFFF" w:val="clear"/>
        </w:rPr>
        <w:t xml:space="preserve">;</w:t>
      </w:r>
    </w:p>
    <w:p>
      <w:pPr>
        <w:numPr>
          <w:ilvl w:val="0"/>
          <w:numId w:val="178"/>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pPr>
        <w:numPr>
          <w:ilvl w:val="0"/>
          <w:numId w:val="178"/>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все виды пособий (пособие </w:t>
      </w:r>
      <w:r>
        <w:rPr>
          <w:rFonts w:ascii="Times New Roman" w:hAnsi="Times New Roman" w:cs="Times New Roman" w:eastAsia="Times New Roman"/>
          <w:color w:val="000000"/>
          <w:spacing w:val="0"/>
          <w:position w:val="0"/>
          <w:sz w:val="28"/>
          <w:shd w:fill="auto" w:val="clear"/>
        </w:rPr>
        <w:t xml:space="preserve">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Fonts w:ascii="Times New Roman" w:hAnsi="Times New Roman" w:cs="Times New Roman" w:eastAsia="Times New Roman"/>
          <w:color w:val="000000"/>
          <w:spacing w:val="0"/>
          <w:position w:val="0"/>
          <w:sz w:val="28"/>
          <w:shd w:fill="FFFFFF" w:val="clear"/>
        </w:rPr>
        <w:t xml:space="preserve"> и др.</w:t>
      </w:r>
      <w:r>
        <w:rPr>
          <w:rFonts w:ascii="Times New Roman" w:hAnsi="Times New Roman" w:cs="Times New Roman" w:eastAsia="Times New Roman"/>
          <w:color w:val="auto"/>
          <w:spacing w:val="0"/>
          <w:position w:val="0"/>
          <w:sz w:val="28"/>
          <w:shd w:fill="auto" w:val="clear"/>
        </w:rPr>
        <w:t xml:space="preserve">), если данные выплаты не были включены в справку по форме 2-НДФЛ, выдаваемую по месту службы (работы). </w:t>
      </w:r>
    </w:p>
    <w:p>
      <w:p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255-</w:t>
      </w:r>
      <w:r>
        <w:rPr>
          <w:rFonts w:ascii="Times New Roman" w:hAnsi="Times New Roman" w:cs="Times New Roman" w:eastAsia="Times New Roman"/>
          <w:color w:val="auto"/>
          <w:spacing w:val="0"/>
          <w:position w:val="0"/>
          <w:sz w:val="28"/>
          <w:shd w:fill="auto" w:val="clear"/>
        </w:rPr>
        <w:t xml:space="preserve">ФЗ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обязательном социальном страховании на случай временной нетрудоспособности и в связи с материнством</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w:t>
      </w:r>
    </w:p>
    <w:p>
      <w:pPr>
        <w:numPr>
          <w:ilvl w:val="0"/>
          <w:numId w:val="181"/>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numPr>
          <w:ilvl w:val="0"/>
          <w:numId w:val="181"/>
        </w:numPr>
        <w:tabs>
          <w:tab w:val="left" w:pos="142" w:leader="none"/>
        </w:tabs>
        <w:spacing w:before="0" w:after="0" w:line="240"/>
        <w:ind w:right="0" w:left="142" w:firstLine="425"/>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pPr>
        <w:numPr>
          <w:ilvl w:val="0"/>
          <w:numId w:val="181"/>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стипендия;</w:t>
      </w:r>
    </w:p>
    <w:p>
      <w:pPr>
        <w:numPr>
          <w:ilvl w:val="0"/>
          <w:numId w:val="181"/>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s="Times New Roman" w:eastAsia="Times New Roman"/>
          <w:color w:val="000000"/>
          <w:spacing w:val="0"/>
          <w:position w:val="0"/>
          <w:sz w:val="28"/>
          <w:shd w:fill="auto" w:val="clear"/>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cs="Times New Roman" w:eastAsia="Times New Roman"/>
          <w:color w:val="auto"/>
          <w:spacing w:val="0"/>
          <w:position w:val="0"/>
          <w:sz w:val="28"/>
          <w:shd w:fill="auto" w:val="clear"/>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pPr>
        <w:numPr>
          <w:ilvl w:val="0"/>
          <w:numId w:val="181"/>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pPr>
        <w:numPr>
          <w:ilvl w:val="0"/>
          <w:numId w:val="181"/>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или иным родственникам. </w:t>
      </w:r>
    </w:p>
    <w:p>
      <w:p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Fonts w:ascii="Times New Roman" w:hAnsi="Times New Roman" w:cs="Times New Roman" w:eastAsia="Times New Roman"/>
          <w:color w:val="000000"/>
          <w:spacing w:val="0"/>
          <w:position w:val="0"/>
          <w:sz w:val="28"/>
          <w:shd w:fill="FFFF00" w:val="clear"/>
        </w:rPr>
        <w:t xml:space="preserve">Доход от реализации имущества указывается в полном объеме без вычета "комиссионных" и иных подобных выплат.</w:t>
      </w:r>
    </w:p>
    <w:p>
      <w:p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При этом </w:t>
      </w:r>
      <w:r>
        <w:rPr>
          <w:rFonts w:ascii="Times New Roman" w:hAnsi="Times New Roman" w:cs="Times New Roman" w:eastAsia="Times New Roman"/>
          <w:color w:val="auto"/>
          <w:spacing w:val="0"/>
          <w:position w:val="0"/>
          <w:sz w:val="28"/>
          <w:shd w:fill="FFFFFF" w:val="clear"/>
        </w:rPr>
        <w:t xml:space="preserve">рекомендуется </w:t>
      </w:r>
      <w:r>
        <w:rPr>
          <w:rFonts w:ascii="Times New Roman" w:hAnsi="Times New Roman" w:cs="Times New Roman" w:eastAsia="Times New Roman"/>
          <w:color w:val="000000"/>
          <w:spacing w:val="0"/>
          <w:position w:val="0"/>
          <w:sz w:val="28"/>
          <w:shd w:fill="FFFFFF" w:val="clear"/>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cs="Times New Roman" w:eastAsia="Times New Roman"/>
          <w:color w:val="auto"/>
          <w:spacing w:val="0"/>
          <w:position w:val="0"/>
          <w:sz w:val="28"/>
          <w:shd w:fill="auto" w:val="clear"/>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w:t>
      </w:r>
      <w:r>
        <w:rPr>
          <w:rFonts w:ascii="Times New Roman" w:hAnsi="Times New Roman" w:cs="Times New Roman" w:eastAsia="Times New Roman"/>
          <w:color w:val="auto"/>
          <w:spacing w:val="0"/>
          <w:position w:val="0"/>
          <w:sz w:val="28"/>
          <w:shd w:fill="auto" w:val="clear"/>
        </w:rPr>
        <w:t xml:space="preserve"> 000 </w:t>
      </w:r>
      <w:r>
        <w:rPr>
          <w:rFonts w:ascii="Times New Roman" w:hAnsi="Times New Roman" w:cs="Times New Roman" w:eastAsia="Times New Roman"/>
          <w:color w:val="auto"/>
          <w:spacing w:val="0"/>
          <w:position w:val="0"/>
          <w:sz w:val="28"/>
          <w:shd w:fill="auto" w:val="clear"/>
        </w:rPr>
        <w:t xml:space="preserve">руб., при этом в ходе покупки автосалон оценил имевшийся у служащего (работника), члена его семьи старый автомобиль в 300</w:t>
      </w:r>
      <w:r>
        <w:rPr>
          <w:rFonts w:ascii="Times New Roman" w:hAnsi="Times New Roman" w:cs="Times New Roman" w:eastAsia="Times New Roman"/>
          <w:color w:val="auto"/>
          <w:spacing w:val="0"/>
          <w:position w:val="0"/>
          <w:sz w:val="28"/>
          <w:shd w:fill="auto" w:val="clear"/>
        </w:rPr>
        <w:t xml:space="preserve"> 000 </w:t>
      </w:r>
      <w:r>
        <w:rPr>
          <w:rFonts w:ascii="Times New Roman" w:hAnsi="Times New Roman" w:cs="Times New Roman" w:eastAsia="Times New Roman"/>
          <w:color w:val="auto"/>
          <w:spacing w:val="0"/>
          <w:position w:val="0"/>
          <w:sz w:val="28"/>
          <w:shd w:fill="auto" w:val="clear"/>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w:t>
      </w:r>
      <w:r>
        <w:rPr>
          <w:rFonts w:ascii="Times New Roman" w:hAnsi="Times New Roman" w:cs="Times New Roman" w:eastAsia="Times New Roman"/>
          <w:color w:val="auto"/>
          <w:spacing w:val="0"/>
          <w:position w:val="0"/>
          <w:sz w:val="28"/>
          <w:shd w:fill="auto" w:val="clear"/>
        </w:rPr>
        <w:t xml:space="preserve"> 000 </w:t>
      </w:r>
      <w:r>
        <w:rPr>
          <w:rFonts w:ascii="Times New Roman" w:hAnsi="Times New Roman" w:cs="Times New Roman" w:eastAsia="Times New Roman"/>
          <w:color w:val="auto"/>
          <w:spacing w:val="0"/>
          <w:position w:val="0"/>
          <w:sz w:val="28"/>
          <w:shd w:fill="auto" w:val="clear"/>
        </w:rPr>
        <w:t xml:space="preserve">руб. является доходом и подлежит указанию в строке "Иные доходы");</w:t>
      </w:r>
    </w:p>
    <w:p>
      <w:p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продажи мелкого имущества (предметы обычной домашней обстановки, обихода и т.д.) рекомендуется указывать совокупный доход от их реализации.</w:t>
      </w:r>
    </w:p>
    <w:p>
      <w:p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Аналогично в отношении продажи имущества, находящегося в совместной собственности.</w:t>
      </w:r>
    </w:p>
    <w:p>
      <w:pPr>
        <w:numPr>
          <w:ilvl w:val="0"/>
          <w:numId w:val="187"/>
        </w:numPr>
        <w:tabs>
          <w:tab w:val="left" w:pos="142" w:leader="none"/>
          <w:tab w:val="left" w:pos="710" w:leader="none"/>
        </w:tabs>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auto" w:val="clear"/>
        </w:rPr>
        <w:t xml:space="preserve">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numPr>
          <w:ilvl w:val="0"/>
          <w:numId w:val="187"/>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доходы по трудовым договорам по совместительству. </w:t>
      </w:r>
      <w:r>
        <w:rPr>
          <w:rFonts w:ascii="Times New Roman" w:hAnsi="Times New Roman" w:cs="Times New Roman" w:eastAsia="Times New Roman"/>
          <w:color w:val="000000"/>
          <w:spacing w:val="0"/>
          <w:position w:val="0"/>
          <w:sz w:val="28"/>
          <w:shd w:fill="auto" w:val="clear"/>
        </w:rPr>
        <w:t xml:space="preserve">При этом рекомендуется указать наименование и </w:t>
      </w:r>
      <w:r>
        <w:rPr>
          <w:rFonts w:ascii="Times New Roman" w:hAnsi="Times New Roman" w:cs="Times New Roman" w:eastAsia="Times New Roman"/>
          <w:color w:val="auto"/>
          <w:spacing w:val="0"/>
          <w:position w:val="0"/>
          <w:sz w:val="28"/>
          <w:shd w:fill="auto" w:val="clear"/>
        </w:rPr>
        <w:t xml:space="preserve">адрес места нахождения </w:t>
      </w:r>
      <w:r>
        <w:rPr>
          <w:rFonts w:ascii="Times New Roman" w:hAnsi="Times New Roman" w:cs="Times New Roman" w:eastAsia="Times New Roman"/>
          <w:color w:val="000000"/>
          <w:spacing w:val="0"/>
          <w:position w:val="0"/>
          <w:sz w:val="28"/>
          <w:shd w:fill="auto" w:val="clear"/>
        </w:rPr>
        <w:t xml:space="preserve">организации, от которой был получен доход; </w:t>
      </w:r>
    </w:p>
    <w:p>
      <w:pPr>
        <w:numPr>
          <w:ilvl w:val="0"/>
          <w:numId w:val="187"/>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pPr>
        <w:numPr>
          <w:ilvl w:val="0"/>
          <w:numId w:val="187"/>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FFFFFF" w:val="clear"/>
        </w:rPr>
        <w:t xml:space="preserve">вознаграждения по гражданско-правовым договорам, если данный доход не указан в иных строках настоящего раздела справки. </w:t>
      </w:r>
      <w:r>
        <w:rPr>
          <w:rFonts w:ascii="Times New Roman" w:hAnsi="Times New Roman" w:cs="Times New Roman" w:eastAsia="Times New Roman"/>
          <w:color w:val="000000"/>
          <w:spacing w:val="0"/>
          <w:position w:val="0"/>
          <w:sz w:val="28"/>
          <w:shd w:fill="auto" w:val="clear"/>
        </w:rPr>
        <w:t xml:space="preserve">При этом рекомендуется указать наименование и </w:t>
      </w:r>
      <w:r>
        <w:rPr>
          <w:rFonts w:ascii="Times New Roman" w:hAnsi="Times New Roman" w:cs="Times New Roman" w:eastAsia="Times New Roman"/>
          <w:color w:val="auto"/>
          <w:spacing w:val="0"/>
          <w:position w:val="0"/>
          <w:sz w:val="28"/>
          <w:shd w:fill="auto" w:val="clear"/>
        </w:rPr>
        <w:t xml:space="preserve">адрес места нахождения </w:t>
      </w:r>
      <w:r>
        <w:rPr>
          <w:rFonts w:ascii="Times New Roman" w:hAnsi="Times New Roman" w:cs="Times New Roman" w:eastAsia="Times New Roman"/>
          <w:color w:val="000000"/>
          <w:spacing w:val="0"/>
          <w:position w:val="0"/>
          <w:sz w:val="28"/>
          <w:shd w:fill="auto" w:val="clear"/>
        </w:rPr>
        <w:t xml:space="preserve">организации, от которой был получен доход; </w:t>
      </w:r>
    </w:p>
    <w:p>
      <w:pPr>
        <w:numPr>
          <w:ilvl w:val="0"/>
          <w:numId w:val="187"/>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pPr>
        <w:numPr>
          <w:ilvl w:val="0"/>
          <w:numId w:val="187"/>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проценты по долговым обязательствам;</w:t>
      </w:r>
    </w:p>
    <w:p>
      <w:pPr>
        <w:numPr>
          <w:ilvl w:val="0"/>
          <w:numId w:val="187"/>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денежные средства, полученные в порядке дарения или наследования;</w:t>
      </w:r>
    </w:p>
    <w:p>
      <w:pPr>
        <w:numPr>
          <w:ilvl w:val="0"/>
          <w:numId w:val="187"/>
        </w:numPr>
        <w:tabs>
          <w:tab w:val="left" w:pos="142" w:leader="none"/>
          <w:tab w:val="left" w:pos="1134" w:leader="none"/>
          <w:tab w:val="left" w:pos="1560" w:leader="none"/>
        </w:tabs>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возмещение вреда, причиненного увечьем или иным повреждением здоровья; </w:t>
      </w:r>
    </w:p>
    <w:p>
      <w:pPr>
        <w:numPr>
          <w:ilvl w:val="0"/>
          <w:numId w:val="187"/>
        </w:numPr>
        <w:tabs>
          <w:tab w:val="left" w:pos="142" w:leader="none"/>
          <w:tab w:val="left" w:pos="1134" w:leader="none"/>
          <w:tab w:val="left" w:pos="1560" w:leader="none"/>
        </w:tabs>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выплаты, связанные с гибелью (смертью), выплаченные наследникам; </w:t>
      </w:r>
    </w:p>
    <w:p>
      <w:pPr>
        <w:numPr>
          <w:ilvl w:val="0"/>
          <w:numId w:val="187"/>
        </w:numPr>
        <w:tabs>
          <w:tab w:val="left" w:pos="142" w:leader="none"/>
          <w:tab w:val="left" w:pos="1134" w:leader="none"/>
          <w:tab w:val="left" w:pos="1560"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182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pPr>
        <w:numPr>
          <w:ilvl w:val="0"/>
          <w:numId w:val="187"/>
        </w:numPr>
        <w:tabs>
          <w:tab w:val="left" w:pos="142" w:leader="none"/>
          <w:tab w:val="left" w:pos="1134" w:leader="none"/>
          <w:tab w:val="left" w:pos="1560"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 </w:t>
      </w:r>
    </w:p>
    <w:p>
      <w:pPr>
        <w:numPr>
          <w:ilvl w:val="0"/>
          <w:numId w:val="187"/>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pPr>
        <w:numPr>
          <w:ilvl w:val="0"/>
          <w:numId w:val="187"/>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pPr>
        <w:numPr>
          <w:ilvl w:val="0"/>
          <w:numId w:val="187"/>
        </w:numPr>
        <w:tabs>
          <w:tab w:val="left" w:pos="142" w:leader="none"/>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FFFF00" w:val="clear"/>
        </w:rPr>
      </w:pPr>
      <w:r>
        <w:rPr>
          <w:rFonts w:ascii="Times New Roman" w:hAnsi="Times New Roman" w:cs="Times New Roman" w:eastAsia="Times New Roman"/>
          <w:color w:val="000000"/>
          <w:spacing w:val="0"/>
          <w:position w:val="0"/>
          <w:sz w:val="28"/>
          <w:shd w:fill="FFFF00" w:val="clear"/>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numPr>
          <w:ilvl w:val="0"/>
          <w:numId w:val="187"/>
        </w:num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pPr>
        <w:numPr>
          <w:ilvl w:val="0"/>
          <w:numId w:val="187"/>
        </w:numPr>
        <w:tabs>
          <w:tab w:val="left" w:pos="1276" w:leader="none"/>
        </w:tabs>
        <w:spacing w:before="0" w:after="0" w:line="240"/>
        <w:ind w:right="0" w:left="0" w:firstLine="567"/>
        <w:jc w:val="both"/>
        <w:rPr>
          <w:rFonts w:ascii="Calibri" w:hAnsi="Calibri" w:cs="Calibri" w:eastAsia="Calibri"/>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numPr>
          <w:ilvl w:val="0"/>
          <w:numId w:val="187"/>
        </w:numPr>
        <w:tabs>
          <w:tab w:val="left" w:pos="142" w:leader="none"/>
          <w:tab w:val="left" w:pos="1276" w:leader="none"/>
        </w:tabs>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pPr>
        <w:numPr>
          <w:ilvl w:val="0"/>
          <w:numId w:val="187"/>
        </w:numPr>
        <w:tabs>
          <w:tab w:val="left" w:pos="851" w:leader="none"/>
          <w:tab w:val="left" w:pos="1134" w:leader="none"/>
        </w:tabs>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выплаты членам профсоюзных организаций, полученные от данных профсоюзных организаций;</w:t>
      </w:r>
    </w:p>
    <w:p>
      <w:pPr>
        <w:numPr>
          <w:ilvl w:val="0"/>
          <w:numId w:val="187"/>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"Доход от педагогической и научной деятельности" раздела 1 справки, результаты иной творческой деятельности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строке "Доход от иной творческой деятельности" указанного раздела справки;</w:t>
      </w:r>
    </w:p>
    <w:p>
      <w:pPr>
        <w:numPr>
          <w:ilvl w:val="0"/>
          <w:numId w:val="187"/>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вознаграждение, полученное при осуществлении опеки или попечительства на возмездной основе;</w:t>
      </w:r>
    </w:p>
    <w:p>
      <w:pPr>
        <w:numPr>
          <w:ilvl w:val="0"/>
          <w:numId w:val="187"/>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43 настоящих Методических рекомендаций);</w:t>
      </w:r>
    </w:p>
    <w:p>
      <w:pPr>
        <w:numPr>
          <w:ilvl w:val="0"/>
          <w:numId w:val="187"/>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pPr>
        <w:numPr>
          <w:ilvl w:val="0"/>
          <w:numId w:val="187"/>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денежные средства, полученные в качестве оплаты услуг или товаров, в том числе в качестве авансового платежа;</w:t>
      </w:r>
    </w:p>
    <w:p>
      <w:pPr>
        <w:numPr>
          <w:ilvl w:val="0"/>
          <w:numId w:val="187"/>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numPr>
          <w:ilvl w:val="0"/>
          <w:numId w:val="187"/>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денежные средства, полученные от родственников (за исключением супруги (супруга) и несовершеннолетних детей</w:t>
      </w:r>
      <w:r>
        <w:rPr>
          <w:rFonts w:ascii="Times New Roman" w:hAnsi="Times New Roman" w:cs="Times New Roman" w:eastAsia="Times New Roman"/>
          <w:color w:val="000000"/>
          <w:spacing w:val="0"/>
          <w:position w:val="0"/>
          <w:sz w:val="28"/>
          <w:shd w:fill="FFFFFF" w:val="clear"/>
        </w:rPr>
        <w:t xml:space="preserve"> кроме случая, предусмотренного пунктом 30 Методических рекомендаций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при невозможности по объективным причинам представить сведения на супругу (супруга) и (или) несовершеннолетних детей</w:t>
      </w:r>
      <w:r>
        <w:rPr>
          <w:rFonts w:ascii="Times New Roman" w:hAnsi="Times New Roman" w:cs="Times New Roman" w:eastAsia="Times New Roman"/>
          <w:color w:val="auto"/>
          <w:spacing w:val="0"/>
          <w:position w:val="0"/>
          <w:sz w:val="28"/>
          <w:shd w:fill="auto" w:val="clear"/>
        </w:rPr>
        <w:t xml:space="preserve">) и третьих лиц на невозвратной основе;</w:t>
      </w:r>
    </w:p>
    <w:p>
      <w:pPr>
        <w:numPr>
          <w:ilvl w:val="0"/>
          <w:numId w:val="187"/>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доход, полученный по договорам переуступки прав требования на строящиеся объекты недвижимости;</w:t>
      </w:r>
    </w:p>
    <w:p>
      <w:pPr>
        <w:numPr>
          <w:ilvl w:val="0"/>
          <w:numId w:val="187"/>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numPr>
          <w:ilvl w:val="0"/>
          <w:numId w:val="187"/>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выплаченная ликвидационная стоимость ценных бумаг при ликвидации коммерческой организации;</w:t>
      </w:r>
    </w:p>
    <w:p>
      <w:pPr>
        <w:numPr>
          <w:ilvl w:val="0"/>
          <w:numId w:val="187"/>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numPr>
          <w:ilvl w:val="0"/>
          <w:numId w:val="187"/>
        </w:numPr>
        <w:tabs>
          <w:tab w:val="left" w:pos="127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иные аналогичные выплаты.</w:t>
      </w:r>
    </w:p>
    <w:p>
      <w:pPr>
        <w:numPr>
          <w:ilvl w:val="0"/>
          <w:numId w:val="187"/>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pPr>
        <w:numPr>
          <w:ilvl w:val="0"/>
          <w:numId w:val="187"/>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199; </w:t>
      </w:r>
    </w:p>
    <w:p>
      <w:pPr>
        <w:numPr>
          <w:ilvl w:val="0"/>
          <w:numId w:val="187"/>
        </w:num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дополнительная государственная гарантия отдельным категориям граждан в соответствии с Указом Президента Российской Федерации от 1 февраля 2021 г. </w:t>
      </w:r>
      <w:r>
        <w:rPr>
          <w:rFonts w:ascii="Segoe UI Symbol" w:hAnsi="Segoe UI Symbol" w:cs="Segoe UI Symbol" w:eastAsia="Segoe UI Symbol"/>
          <w:color w:val="auto"/>
          <w:spacing w:val="0"/>
          <w:position w:val="0"/>
          <w:sz w:val="28"/>
          <w:shd w:fill="FFFF00" w:val="clear"/>
        </w:rPr>
        <w:t xml:space="preserve">№</w:t>
      </w:r>
      <w:r>
        <w:rPr>
          <w:rFonts w:ascii="Times New Roman" w:hAnsi="Times New Roman" w:cs="Times New Roman" w:eastAsia="Times New Roman"/>
          <w:color w:val="auto"/>
          <w:spacing w:val="0"/>
          <w:position w:val="0"/>
          <w:sz w:val="28"/>
          <w:shd w:fill="FFFF00" w:val="clear"/>
        </w:rPr>
        <w:t xml:space="preserve"> 60;</w:t>
      </w:r>
    </w:p>
    <w:p>
      <w:pPr>
        <w:numPr>
          <w:ilvl w:val="0"/>
          <w:numId w:val="187"/>
        </w:num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единовременная выплата семьям, имеющим детей, в соответствии с Указом Президента Российской Федерации от 2 июля 2021 г. </w:t>
      </w:r>
      <w:r>
        <w:rPr>
          <w:rFonts w:ascii="Segoe UI Symbol" w:hAnsi="Segoe UI Symbol" w:cs="Segoe UI Symbol" w:eastAsia="Segoe UI Symbol"/>
          <w:color w:val="auto"/>
          <w:spacing w:val="0"/>
          <w:position w:val="0"/>
          <w:sz w:val="28"/>
          <w:shd w:fill="FFFF00" w:val="clear"/>
        </w:rPr>
        <w:t xml:space="preserve">№</w:t>
      </w:r>
      <w:r>
        <w:rPr>
          <w:rFonts w:ascii="Times New Roman" w:hAnsi="Times New Roman" w:cs="Times New Roman" w:eastAsia="Times New Roman"/>
          <w:color w:val="auto"/>
          <w:spacing w:val="0"/>
          <w:position w:val="0"/>
          <w:sz w:val="28"/>
          <w:shd w:fill="FFFF00" w:val="clear"/>
        </w:rPr>
        <w:t xml:space="preserve"> 396;</w:t>
      </w:r>
    </w:p>
    <w:p>
      <w:pPr>
        <w:numPr>
          <w:ilvl w:val="0"/>
          <w:numId w:val="187"/>
        </w:num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единовременная денежная выплата гражданам, получающим пенсию, в соответствии с Указом Президента Российской Федерации от 24 августа 2021 г. </w:t>
      </w:r>
      <w:r>
        <w:rPr>
          <w:rFonts w:ascii="Segoe UI Symbol" w:hAnsi="Segoe UI Symbol" w:cs="Segoe UI Symbol" w:eastAsia="Segoe UI Symbol"/>
          <w:color w:val="auto"/>
          <w:spacing w:val="0"/>
          <w:position w:val="0"/>
          <w:sz w:val="28"/>
          <w:shd w:fill="FFFF00" w:val="clear"/>
        </w:rPr>
        <w:t xml:space="preserve">№</w:t>
      </w:r>
      <w:r>
        <w:rPr>
          <w:rFonts w:ascii="Times New Roman" w:hAnsi="Times New Roman" w:cs="Times New Roman" w:eastAsia="Times New Roman"/>
          <w:color w:val="auto"/>
          <w:spacing w:val="0"/>
          <w:position w:val="0"/>
          <w:sz w:val="28"/>
          <w:shd w:fill="FFFF00" w:val="clear"/>
        </w:rPr>
        <w:t xml:space="preserve"> 486;</w:t>
      </w:r>
    </w:p>
    <w:p>
      <w:pPr>
        <w:numPr>
          <w:ilvl w:val="0"/>
          <w:numId w:val="187"/>
        </w:num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w:t>
      </w:r>
      <w:r>
        <w:rPr>
          <w:rFonts w:ascii="Segoe UI Symbol" w:hAnsi="Segoe UI Symbol" w:cs="Segoe UI Symbol" w:eastAsia="Segoe UI Symbol"/>
          <w:color w:val="auto"/>
          <w:spacing w:val="0"/>
          <w:position w:val="0"/>
          <w:sz w:val="28"/>
          <w:shd w:fill="FFFF00" w:val="clear"/>
        </w:rPr>
        <w:t xml:space="preserve">№</w:t>
      </w:r>
      <w:r>
        <w:rPr>
          <w:rFonts w:ascii="Times New Roman" w:hAnsi="Times New Roman" w:cs="Times New Roman" w:eastAsia="Times New Roman"/>
          <w:color w:val="auto"/>
          <w:spacing w:val="0"/>
          <w:position w:val="0"/>
          <w:sz w:val="28"/>
          <w:shd w:fill="FFFF00" w:val="clear"/>
        </w:rPr>
        <w:t xml:space="preserve"> 487;</w:t>
      </w:r>
    </w:p>
    <w:p>
      <w:pPr>
        <w:numPr>
          <w:ilvl w:val="0"/>
          <w:numId w:val="187"/>
        </w:num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единовременная денежная выплата отдельным категориям военнослужащих в соответствии с Указом Президента Российской Федерации от 30 августа 2021 г. </w:t>
      </w:r>
      <w:r>
        <w:rPr>
          <w:rFonts w:ascii="Segoe UI Symbol" w:hAnsi="Segoe UI Symbol" w:cs="Segoe UI Symbol" w:eastAsia="Segoe UI Symbol"/>
          <w:color w:val="auto"/>
          <w:spacing w:val="0"/>
          <w:position w:val="0"/>
          <w:sz w:val="28"/>
          <w:shd w:fill="FFFF00" w:val="clear"/>
        </w:rPr>
        <w:t xml:space="preserve">№</w:t>
      </w:r>
      <w:r>
        <w:rPr>
          <w:rFonts w:ascii="Times New Roman" w:hAnsi="Times New Roman" w:cs="Times New Roman" w:eastAsia="Times New Roman"/>
          <w:color w:val="auto"/>
          <w:spacing w:val="0"/>
          <w:position w:val="0"/>
          <w:sz w:val="28"/>
          <w:shd w:fill="FFFF00" w:val="clear"/>
        </w:rPr>
        <w:t xml:space="preserve"> 502;</w:t>
      </w:r>
    </w:p>
    <w:p>
      <w:pPr>
        <w:numPr>
          <w:ilvl w:val="0"/>
          <w:numId w:val="187"/>
        </w:num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w:t>
      </w:r>
      <w:r>
        <w:rPr>
          <w:rFonts w:ascii="Segoe UI Symbol" w:hAnsi="Segoe UI Symbol" w:cs="Segoe UI Symbol" w:eastAsia="Segoe UI Symbol"/>
          <w:color w:val="auto"/>
          <w:spacing w:val="0"/>
          <w:position w:val="0"/>
          <w:sz w:val="28"/>
          <w:shd w:fill="FFFF00" w:val="clear"/>
        </w:rPr>
        <w:t xml:space="preserve">№</w:t>
      </w:r>
      <w:r>
        <w:rPr>
          <w:rFonts w:ascii="Times New Roman" w:hAnsi="Times New Roman" w:cs="Times New Roman" w:eastAsia="Times New Roman"/>
          <w:color w:val="auto"/>
          <w:spacing w:val="0"/>
          <w:position w:val="0"/>
          <w:sz w:val="28"/>
          <w:shd w:fill="FFFF00" w:val="clear"/>
        </w:rPr>
        <w:t xml:space="preserve"> 503;</w:t>
      </w:r>
    </w:p>
    <w:p>
      <w:pPr>
        <w:numPr>
          <w:ilvl w:val="0"/>
          <w:numId w:val="187"/>
        </w:numPr>
        <w:spacing w:before="0" w:after="0" w:line="240"/>
        <w:ind w:right="0" w:left="0" w:firstLine="709"/>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постановлением Правительства Российской Федерации от 28 июня 2021 г. </w:t>
      </w:r>
      <w:r>
        <w:rPr>
          <w:rFonts w:ascii="Segoe UI Symbol" w:hAnsi="Segoe UI Symbol" w:cs="Segoe UI Symbol" w:eastAsia="Segoe UI Symbol"/>
          <w:color w:val="auto"/>
          <w:spacing w:val="0"/>
          <w:position w:val="0"/>
          <w:sz w:val="28"/>
          <w:shd w:fill="FFFF00" w:val="clear"/>
        </w:rPr>
        <w:t xml:space="preserve">№</w:t>
      </w:r>
      <w:r>
        <w:rPr>
          <w:rFonts w:ascii="Times New Roman" w:hAnsi="Times New Roman" w:cs="Times New Roman" w:eastAsia="Times New Roman"/>
          <w:color w:val="auto"/>
          <w:spacing w:val="0"/>
          <w:position w:val="0"/>
          <w:sz w:val="28"/>
          <w:shd w:fill="FFFF00" w:val="clear"/>
        </w:rPr>
        <w:t xml:space="preserve"> 1037.</w:t>
      </w:r>
    </w:p>
    <w:p>
      <w:pPr>
        <w:spacing w:before="0" w:after="0" w:line="240"/>
        <w:ind w:right="0" w:left="0" w:firstLine="709"/>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pPr>
        <w:numPr>
          <w:ilvl w:val="0"/>
          <w:numId w:val="199"/>
        </w:num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pPr>
        <w:numPr>
          <w:ilvl w:val="0"/>
          <w:numId w:val="199"/>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pPr>
        <w:numPr>
          <w:ilvl w:val="0"/>
          <w:numId w:val="199"/>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учетом целей антико</w:t>
      </w:r>
      <w:r>
        <w:rPr>
          <w:rFonts w:ascii="Times New Roman" w:hAnsi="Times New Roman" w:cs="Times New Roman" w:eastAsia="Times New Roman"/>
          <w:color w:val="000000"/>
          <w:spacing w:val="0"/>
          <w:position w:val="0"/>
          <w:sz w:val="28"/>
          <w:shd w:fill="auto" w:val="clear"/>
        </w:rPr>
        <w:t xml:space="preserve">р</w:t>
      </w:r>
      <w:r>
        <w:rPr>
          <w:rFonts w:ascii="Times New Roman" w:hAnsi="Times New Roman" w:cs="Times New Roman" w:eastAsia="Times New Roman"/>
          <w:color w:val="auto"/>
          <w:spacing w:val="0"/>
          <w:position w:val="0"/>
          <w:sz w:val="28"/>
          <w:shd w:fill="auto" w:val="clear"/>
        </w:rPr>
        <w:t xml:space="preserve">рупционного законодательства в строке</w:t>
      </w:r>
      <w:r>
        <w:rPr>
          <w:rFonts w:ascii="Times New Roman" w:hAnsi="Times New Roman" w:cs="Times New Roman" w:eastAsia="Times New Roman"/>
          <w:color w:val="auto"/>
          <w:spacing w:val="0"/>
          <w:position w:val="0"/>
          <w:sz w:val="28"/>
          <w:shd w:fill="auto" w:val="clear"/>
        </w:rPr>
        <w:t xml:space="preserve"> 6 "</w:t>
      </w:r>
      <w:r>
        <w:rPr>
          <w:rFonts w:ascii="Times New Roman" w:hAnsi="Times New Roman" w:cs="Times New Roman" w:eastAsia="Times New Roman"/>
          <w:color w:val="auto"/>
          <w:spacing w:val="0"/>
          <w:position w:val="0"/>
          <w:sz w:val="28"/>
          <w:shd w:fill="auto" w:val="clear"/>
        </w:rPr>
        <w:t xml:space="preserve">Иные доходы"</w:t>
      </w:r>
      <w:r>
        <w:rPr>
          <w:rFonts w:ascii="Times New Roman" w:hAnsi="Times New Roman" w:cs="Times New Roman" w:eastAsia="Times New Roman"/>
          <w:b/>
          <w:color w:val="auto"/>
          <w:spacing w:val="0"/>
          <w:position w:val="0"/>
          <w:sz w:val="28"/>
          <w:shd w:fill="auto" w:val="clear"/>
        </w:rPr>
        <w:t xml:space="preserve"> не указываются </w:t>
      </w:r>
      <w:r>
        <w:rPr>
          <w:rFonts w:ascii="Times New Roman" w:hAnsi="Times New Roman" w:cs="Times New Roman" w:eastAsia="Times New Roman"/>
          <w:color w:val="auto"/>
          <w:spacing w:val="0"/>
          <w:position w:val="0"/>
          <w:sz w:val="28"/>
          <w:shd w:fill="auto" w:val="clear"/>
        </w:rPr>
        <w:t xml:space="preserve">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со служебными командировками за счет средств работодателя;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с приобретением проездных документов для исполнения служебных (должностных) обязанностей;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с оплатой коммунальных и иных услуг, наймом жилого помещения;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с внесением родительской платы за посещение дошкольного образовательного учреждения;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с оформлением нотариальной доверенности, почтовыми расходами, расходами на оплату услуг представителя (возмещаются по решению суда).</w:t>
      </w:r>
    </w:p>
    <w:p>
      <w:pPr>
        <w:numPr>
          <w:ilvl w:val="0"/>
          <w:numId w:val="20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Также не указываются сведения о денежных средствах, полученных:</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 виде социального, имущественного, инвестиционного налогового вычета;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от продажи различного вида подарочных сертификатов (карт), выпущенных предприятиями торговли;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в качестве бонусных баллов</w:t>
      </w:r>
      <w:r>
        <w:rPr>
          <w:rFonts w:ascii="Times New Roman" w:hAnsi="Times New Roman" w:cs="Times New Roman" w:eastAsia="Times New Roman"/>
          <w:color w:val="auto"/>
          <w:spacing w:val="0"/>
          <w:position w:val="0"/>
          <w:sz w:val="28"/>
          <w:shd w:fill="auto" w:val="clear"/>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"кешбэк сервис"), включая т.н. "туристический кешбэк", "детский кешбэк" и др.;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в виде материальной выгоды, предусмотренной статьей</w:t>
      </w:r>
      <w:r>
        <w:rPr>
          <w:rFonts w:ascii="Times New Roman" w:hAnsi="Times New Roman" w:cs="Times New Roman" w:eastAsia="Times New Roman"/>
          <w:color w:val="auto"/>
          <w:spacing w:val="0"/>
          <w:position w:val="0"/>
          <w:sz w:val="28"/>
          <w:shd w:fill="auto" w:val="clear"/>
        </w:rPr>
        <w:t xml:space="preserve"> 212 </w:t>
      </w:r>
      <w:r>
        <w:rPr>
          <w:rFonts w:ascii="Times New Roman" w:hAnsi="Times New Roman" w:cs="Times New Roman" w:eastAsia="Times New Roman"/>
          <w:color w:val="auto"/>
          <w:spacing w:val="0"/>
          <w:position w:val="0"/>
          <w:sz w:val="28"/>
          <w:shd w:fill="auto" w:val="clear"/>
        </w:rPr>
        <w:t xml:space="preserve">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tabs>
          <w:tab w:val="left" w:pos="709"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в качестве возврата налога на добавленную стоимость, уплаченного при совершении покупок за границей, по чекам Tax-free;</w:t>
      </w:r>
    </w:p>
    <w:p>
      <w:pPr>
        <w:tabs>
          <w:tab w:val="left" w:pos="709"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в качестве вознаграждения донорам за сданную кровь, ее компонентов (и иную помощь);</w:t>
      </w:r>
    </w:p>
    <w:p>
      <w:pPr>
        <w:tabs>
          <w:tab w:val="left" w:pos="709"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в виде кредитов, займов. В случае если сумма кредита, займа равна или превышает 500</w:t>
      </w:r>
      <w:r>
        <w:rPr>
          <w:rFonts w:ascii="Times New Roman" w:hAnsi="Times New Roman" w:cs="Times New Roman" w:eastAsia="Times New Roman"/>
          <w:color w:val="auto"/>
          <w:spacing w:val="0"/>
          <w:position w:val="0"/>
          <w:sz w:val="28"/>
          <w:shd w:fill="auto" w:val="clear"/>
        </w:rPr>
        <w:t xml:space="preserve"> 000 </w:t>
      </w:r>
      <w:r>
        <w:rPr>
          <w:rFonts w:ascii="Times New Roman" w:hAnsi="Times New Roman" w:cs="Times New Roman" w:eastAsia="Times New Roman"/>
          <w:color w:val="auto"/>
          <w:spacing w:val="0"/>
          <w:position w:val="0"/>
          <w:sz w:val="28"/>
          <w:shd w:fill="auto" w:val="clear"/>
        </w:rPr>
        <w:t xml:space="preserve">рублей, то данное срочное обязательство финансового характера подлежит указанию в подразделе 6.2 раздела 6 справки;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в качестве возмещения расходов на повышение профессионального уровня за счет средств представителя нанимателя (работодателя);</w:t>
      </w:r>
    </w:p>
    <w:p>
      <w:pPr>
        <w:tabs>
          <w:tab w:val="left" w:pos="709"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pPr>
        <w:tabs>
          <w:tab w:val="left" w:pos="709"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в качестве перевода (между супругами и (или) несовершеннолетними детьми (аналогично в части, касающейся наличных денежных средств), </w:t>
      </w:r>
      <w:r>
        <w:rPr>
          <w:rFonts w:ascii="Times New Roman" w:hAnsi="Times New Roman" w:cs="Times New Roman" w:eastAsia="Times New Roman"/>
          <w:color w:val="000000"/>
          <w:spacing w:val="0"/>
          <w:position w:val="0"/>
          <w:sz w:val="28"/>
          <w:shd w:fill="FFFFFF" w:val="clear"/>
        </w:rPr>
        <w:t xml:space="preserve">кроме случая, предусмотренного пунктом 30 Методических рекомендаций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при невозможности по объективным причинам представить сведения на супругу (супруга) и (или) несовершеннолетних детей)</w:t>
      </w:r>
      <w:r>
        <w:rPr>
          <w:rFonts w:ascii="Times New Roman" w:hAnsi="Times New Roman" w:cs="Times New Roman" w:eastAsia="Times New Roman"/>
          <w:color w:val="auto"/>
          <w:spacing w:val="0"/>
          <w:position w:val="0"/>
          <w:sz w:val="28"/>
          <w:shd w:fill="auto" w:val="clear"/>
        </w:rPr>
        <w:t xml:space="preserve">;</w:t>
      </w:r>
    </w:p>
    <w:p>
      <w:pPr>
        <w:tabs>
          <w:tab w:val="left" w:pos="709"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в связи с возвратом денежных средств по несостоявшемуся договору купли-продажи;</w:t>
      </w:r>
    </w:p>
    <w:p>
      <w:pPr>
        <w:tabs>
          <w:tab w:val="left" w:pos="709"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tabs>
          <w:tab w:val="left" w:pos="709"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tabs>
          <w:tab w:val="left" w:pos="709" w:leader="none"/>
        </w:tabs>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на специальный избирательный счет в соответствии с</w:t>
      </w:r>
      <w:r>
        <w:rPr>
          <w:rFonts w:ascii="Times New Roman" w:hAnsi="Times New Roman" w:cs="Times New Roman" w:eastAsia="Times New Roman"/>
          <w:color w:val="000000"/>
          <w:spacing w:val="0"/>
          <w:position w:val="0"/>
          <w:sz w:val="28"/>
          <w:shd w:fill="FFFFFF" w:val="clear"/>
        </w:rPr>
        <w:t xml:space="preserve"> Федеральным законом</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000000"/>
          <w:spacing w:val="0"/>
          <w:position w:val="0"/>
          <w:sz w:val="28"/>
          <w:shd w:fill="FFFFFF" w:val="clear"/>
        </w:rPr>
        <w:t xml:space="preserve">от 12</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июня 2002</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г.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67-</w:t>
      </w:r>
      <w:r>
        <w:rPr>
          <w:rFonts w:ascii="Times New Roman" w:hAnsi="Times New Roman" w:cs="Times New Roman" w:eastAsia="Times New Roman"/>
          <w:color w:val="000000"/>
          <w:spacing w:val="0"/>
          <w:position w:val="0"/>
          <w:sz w:val="28"/>
          <w:shd w:fill="FFFFFF" w:val="clear"/>
        </w:rPr>
        <w:t xml:space="preserve">ФЗ "Об основных гарантиях избирательных прав и права на участие в референдуме граждан Российской Федерации".</w:t>
      </w:r>
    </w:p>
    <w:p>
      <w:pPr>
        <w:numPr>
          <w:ilvl w:val="0"/>
          <w:numId w:val="206"/>
        </w:numPr>
        <w:spacing w:before="0" w:after="0" w:line="240"/>
        <w:ind w:right="0" w:left="0" w:firstLine="709"/>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Счет в банке, открытый для соответствующих целей, отражается в разделе 4 справки.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pPr>
        <w:numPr>
          <w:ilvl w:val="0"/>
          <w:numId w:val="208"/>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pPr>
        <w:spacing w:before="0" w:after="0" w:line="240"/>
        <w:ind w:right="0" w:left="567" w:firstLine="0"/>
        <w:jc w:val="both"/>
        <w:rPr>
          <w:rFonts w:ascii="Times New Roman" w:hAnsi="Times New Roman" w:cs="Times New Roman" w:eastAsia="Times New Roman"/>
          <w:color w:val="auto"/>
          <w:spacing w:val="0"/>
          <w:position w:val="0"/>
          <w:sz w:val="28"/>
          <w:shd w:fill="auto" w:val="clear"/>
        </w:rPr>
      </w:pPr>
    </w:p>
    <w:p>
      <w:pPr>
        <w:tabs>
          <w:tab w:val="left" w:pos="709" w:leader="none"/>
        </w:tabs>
        <w:spacing w:before="0" w:after="0" w:line="240"/>
        <w:ind w:right="0" w:left="0" w:firstLine="567"/>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2. СВЕДЕНИЯ О РАСХОДАХ</w:t>
      </w:r>
    </w:p>
    <w:p>
      <w:pPr>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p>
    <w:p>
      <w:pPr>
        <w:numPr>
          <w:ilvl w:val="0"/>
          <w:numId w:val="212"/>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Данный раздел справки </w:t>
      </w:r>
      <w:r>
        <w:rPr>
          <w:rFonts w:ascii="Times New Roman" w:hAnsi="Times New Roman" w:cs="Times New Roman" w:eastAsia="Times New Roman"/>
          <w:b/>
          <w:color w:val="auto"/>
          <w:spacing w:val="0"/>
          <w:position w:val="0"/>
          <w:sz w:val="28"/>
          <w:shd w:fill="auto" w:val="clear"/>
        </w:rPr>
        <w:t xml:space="preserve">заполняется только</w:t>
      </w:r>
      <w:r>
        <w:rPr>
          <w:rFonts w:ascii="Times New Roman" w:hAnsi="Times New Roman" w:cs="Times New Roman" w:eastAsia="Times New Roman"/>
          <w:color w:val="auto"/>
          <w:spacing w:val="0"/>
          <w:position w:val="0"/>
          <w:sz w:val="28"/>
          <w:shd w:fill="auto" w:val="clear"/>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году.</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pPr>
        <w:numPr>
          <w:ilvl w:val="0"/>
          <w:numId w:val="214"/>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Данный раздел справки также подлежит заполнению при наличии обстоятельств, перечисленных в пункте</w:t>
      </w:r>
      <w:r>
        <w:rPr>
          <w:rFonts w:ascii="Times New Roman" w:hAnsi="Times New Roman" w:cs="Times New Roman" w:eastAsia="Times New Roman"/>
          <w:color w:val="auto"/>
          <w:spacing w:val="0"/>
          <w:position w:val="0"/>
          <w:sz w:val="28"/>
          <w:shd w:fill="auto" w:val="clear"/>
        </w:rPr>
        <w:t xml:space="preserve"> 68 </w:t>
      </w:r>
      <w:r>
        <w:rPr>
          <w:rFonts w:ascii="Times New Roman" w:hAnsi="Times New Roman" w:cs="Times New Roman" w:eastAsia="Times New Roman"/>
          <w:color w:val="auto"/>
          <w:spacing w:val="0"/>
          <w:position w:val="0"/>
          <w:sz w:val="28"/>
          <w:shd w:fill="auto" w:val="clear"/>
        </w:rPr>
        <w:t xml:space="preserve">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numPr>
          <w:ilvl w:val="0"/>
          <w:numId w:val="214"/>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Граждане, поступающие на службу (работу), раздел 2справки не заполняют.</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pPr>
        <w:numPr>
          <w:ilvl w:val="0"/>
          <w:numId w:val="216"/>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Заполнение данного раздела при отсутствии указанных в пункте</w:t>
      </w:r>
      <w:r>
        <w:rPr>
          <w:rFonts w:ascii="Times New Roman" w:hAnsi="Times New Roman" w:cs="Times New Roman" w:eastAsia="Times New Roman"/>
          <w:color w:val="auto"/>
          <w:spacing w:val="0"/>
          <w:position w:val="0"/>
          <w:sz w:val="28"/>
          <w:shd w:fill="auto" w:val="clear"/>
        </w:rPr>
        <w:t xml:space="preserve"> 68 </w:t>
      </w:r>
      <w:r>
        <w:rPr>
          <w:rFonts w:ascii="Times New Roman" w:hAnsi="Times New Roman" w:cs="Times New Roman" w:eastAsia="Times New Roman"/>
          <w:color w:val="auto"/>
          <w:spacing w:val="0"/>
          <w:position w:val="0"/>
          <w:sz w:val="28"/>
          <w:shd w:fill="auto" w:val="clear"/>
        </w:rPr>
        <w:t xml:space="preserve">настоящих Методических рекомендаций оснований не является нарушением.</w:t>
      </w:r>
    </w:p>
    <w:p>
      <w:pPr>
        <w:numPr>
          <w:ilvl w:val="0"/>
          <w:numId w:val="216"/>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pPr>
        <w:numPr>
          <w:ilvl w:val="0"/>
          <w:numId w:val="216"/>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цели реализации пункта</w:t>
      </w:r>
      <w:r>
        <w:rPr>
          <w:rFonts w:ascii="Times New Roman" w:hAnsi="Times New Roman" w:cs="Times New Roman" w:eastAsia="Times New Roman"/>
          <w:color w:val="auto"/>
          <w:spacing w:val="0"/>
          <w:position w:val="0"/>
          <w:sz w:val="28"/>
          <w:shd w:fill="auto" w:val="clear"/>
        </w:rPr>
        <w:t xml:space="preserve"> 68 </w:t>
      </w:r>
      <w:r>
        <w:rPr>
          <w:rFonts w:ascii="Times New Roman" w:hAnsi="Times New Roman" w:cs="Times New Roman" w:eastAsia="Times New Roman"/>
          <w:color w:val="auto"/>
          <w:spacing w:val="0"/>
          <w:position w:val="0"/>
          <w:sz w:val="28"/>
          <w:shd w:fill="auto" w:val="clear"/>
        </w:rPr>
        <w:t xml:space="preserve">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pPr>
        <w:numPr>
          <w:ilvl w:val="0"/>
          <w:numId w:val="218"/>
        </w:numPr>
        <w:tabs>
          <w:tab w:val="left" w:pos="0" w:leader="none"/>
          <w:tab w:val="left" w:pos="1418" w:leader="none"/>
        </w:tabs>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pPr>
        <w:tabs>
          <w:tab w:val="left" w:pos="0" w:leader="none"/>
          <w:tab w:val="left" w:pos="1418"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numPr>
          <w:ilvl w:val="0"/>
          <w:numId w:val="220"/>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numPr>
          <w:ilvl w:val="0"/>
          <w:numId w:val="220"/>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Данный раздел </w:t>
      </w:r>
      <w:r>
        <w:rPr>
          <w:rFonts w:ascii="Times New Roman" w:hAnsi="Times New Roman" w:cs="Times New Roman" w:eastAsia="Times New Roman"/>
          <w:b/>
          <w:color w:val="auto"/>
          <w:spacing w:val="0"/>
          <w:position w:val="0"/>
          <w:sz w:val="28"/>
          <w:shd w:fill="auto" w:val="clear"/>
        </w:rPr>
        <w:t xml:space="preserve">не заполняется</w:t>
      </w:r>
      <w:r>
        <w:rPr>
          <w:rFonts w:ascii="Times New Roman" w:hAnsi="Times New Roman" w:cs="Times New Roman" w:eastAsia="Times New Roman"/>
          <w:color w:val="auto"/>
          <w:spacing w:val="0"/>
          <w:position w:val="0"/>
          <w:sz w:val="28"/>
          <w:shd w:fill="auto" w:val="clear"/>
        </w:rPr>
        <w:t xml:space="preserve"> в следующих случаях:</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230-</w:t>
      </w:r>
      <w:r>
        <w:rPr>
          <w:rFonts w:ascii="Times New Roman" w:hAnsi="Times New Roman" w:cs="Times New Roman" w:eastAsia="Times New Roman"/>
          <w:color w:val="auto"/>
          <w:spacing w:val="0"/>
          <w:position w:val="0"/>
          <w:sz w:val="28"/>
          <w:shd w:fill="auto" w:val="clear"/>
        </w:rPr>
        <w:t xml:space="preserve">ФЗ "О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контроле за соответствием расходов лиц, замещающих государственные должности, и иных лиц их доходам");</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pPr>
        <w:numPr>
          <w:ilvl w:val="0"/>
          <w:numId w:val="222"/>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графы "</w:t>
      </w:r>
      <w:r>
        <w:rPr>
          <w:rFonts w:ascii="Times New Roman" w:hAnsi="Times New Roman" w:cs="Times New Roman" w:eastAsia="Times New Roman"/>
          <w:b/>
          <w:color w:val="auto"/>
          <w:spacing w:val="0"/>
          <w:position w:val="0"/>
          <w:sz w:val="28"/>
          <w:shd w:fill="auto" w:val="clear"/>
        </w:rPr>
        <w:t xml:space="preserve">Вид приобретенного имущества</w:t>
      </w:r>
      <w:r>
        <w:rPr>
          <w:rFonts w:ascii="Times New Roman" w:hAnsi="Times New Roman" w:cs="Times New Roman" w:eastAsia="Times New Roman"/>
          <w:color w:val="auto"/>
          <w:spacing w:val="0"/>
          <w:position w:val="0"/>
          <w:sz w:val="28"/>
          <w:shd w:fill="auto" w:val="clear"/>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cs="Times New Roman" w:eastAsia="Times New Roman"/>
          <w:color w:val="000000"/>
          <w:spacing w:val="0"/>
          <w:position w:val="0"/>
          <w:sz w:val="28"/>
          <w:shd w:fill="auto" w:val="clear"/>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наименование, организационно-правовую форму, местонахождение). Для цифровых финансовых активов и цифровых валют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наименование.</w:t>
      </w:r>
    </w:p>
    <w:p>
      <w:pPr>
        <w:numPr>
          <w:ilvl w:val="0"/>
          <w:numId w:val="222"/>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графы "</w:t>
      </w:r>
      <w:r>
        <w:rPr>
          <w:rFonts w:ascii="Times New Roman" w:hAnsi="Times New Roman" w:cs="Times New Roman" w:eastAsia="Times New Roman"/>
          <w:b/>
          <w:color w:val="auto"/>
          <w:spacing w:val="0"/>
          <w:position w:val="0"/>
          <w:sz w:val="28"/>
          <w:shd w:fill="auto" w:val="clear"/>
        </w:rPr>
        <w:t xml:space="preserve">Источник получения средств, за счет которых приобретено имущество</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следует указывать наименование источника получения средств и размер полученного дохода по каждому из источников.</w:t>
      </w:r>
    </w:p>
    <w:p>
      <w:pPr>
        <w:numPr>
          <w:ilvl w:val="0"/>
          <w:numId w:val="222"/>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numPr>
          <w:ilvl w:val="0"/>
          <w:numId w:val="222"/>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numPr>
          <w:ilvl w:val="0"/>
          <w:numId w:val="222"/>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"Основания приобретения имущества" </w:t>
      </w:r>
      <w:r>
        <w:rPr>
          <w:rFonts w:ascii="Times New Roman" w:hAnsi="Times New Roman" w:cs="Times New Roman" w:eastAsia="Times New Roman"/>
          <w:color w:val="auto"/>
          <w:spacing w:val="0"/>
          <w:position w:val="0"/>
          <w:sz w:val="28"/>
          <w:shd w:fill="auto" w:val="clear"/>
        </w:rPr>
        <w:t xml:space="preserve">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p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p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pPr>
        <w:numPr>
          <w:ilvl w:val="0"/>
          <w:numId w:val="224"/>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Особенности заполнения раздела "Сведения о расходах"</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приобретение недвижимого имущества посредством участия в долевом строительстве.</w:t>
      </w:r>
      <w:r>
        <w:rPr>
          <w:rFonts w:ascii="Times New Roman" w:hAnsi="Times New Roman" w:cs="Times New Roman" w:eastAsia="Times New Roman"/>
          <w:color w:val="auto"/>
          <w:spacing w:val="0"/>
          <w:position w:val="0"/>
          <w:sz w:val="28"/>
          <w:shd w:fill="auto" w:val="clear"/>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cs="Times New Roman" w:eastAsia="Times New Roman"/>
          <w:color w:val="auto"/>
          <w:spacing w:val="2"/>
          <w:position w:val="0"/>
          <w:sz w:val="28"/>
          <w:shd w:fill="FFFFFF" w:val="clear"/>
        </w:rPr>
        <w:t xml:space="preserve">собственности на недвижимое имущество, приобретенное на основании </w:t>
      </w:r>
      <w:r>
        <w:rPr>
          <w:rFonts w:ascii="Times New Roman" w:hAnsi="Times New Roman" w:cs="Times New Roman" w:eastAsia="Times New Roman"/>
          <w:color w:val="auto"/>
          <w:spacing w:val="1"/>
          <w:position w:val="0"/>
          <w:sz w:val="28"/>
          <w:shd w:fill="FFFFFF" w:val="clear"/>
        </w:rPr>
        <w:t xml:space="preserve">договора долевого участия, сведения об этом имуществе подлежат указанию </w:t>
      </w:r>
      <w:r>
        <w:rPr>
          <w:rFonts w:ascii="Times New Roman" w:hAnsi="Times New Roman" w:cs="Times New Roman" w:eastAsia="Times New Roman"/>
          <w:color w:val="auto"/>
          <w:spacing w:val="0"/>
          <w:position w:val="0"/>
          <w:sz w:val="28"/>
          <w:shd w:fill="FFFFFF" w:val="clear"/>
        </w:rPr>
        <w:t xml:space="preserve">в подразделе 3.1 раздела 3 справки;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приобретение недвижимого имущества посредством участия в кооперативе.</w:t>
      </w:r>
      <w:r>
        <w:rPr>
          <w:rFonts w:ascii="Times New Roman" w:hAnsi="Times New Roman" w:cs="Times New Roman" w:eastAsia="Times New Roman"/>
          <w:color w:val="auto"/>
          <w:spacing w:val="0"/>
          <w:position w:val="0"/>
          <w:sz w:val="28"/>
          <w:shd w:fill="auto" w:val="clear"/>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приобретение ценных бумаг.</w:t>
      </w:r>
      <w:r>
        <w:rPr>
          <w:rFonts w:ascii="Times New Roman" w:hAnsi="Times New Roman" w:cs="Times New Roman" w:eastAsia="Times New Roman"/>
          <w:color w:val="auto"/>
          <w:spacing w:val="0"/>
          <w:position w:val="0"/>
          <w:sz w:val="28"/>
          <w:shd w:fill="auto" w:val="clear"/>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FFFF00" w:val="clear"/>
        </w:rPr>
        <w:t xml:space="preserve">4) </w:t>
      </w:r>
      <w:r>
        <w:rPr>
          <w:rFonts w:ascii="Times New Roman" w:hAnsi="Times New Roman" w:cs="Times New Roman" w:eastAsia="Times New Roman"/>
          <w:b/>
          <w:color w:val="auto"/>
          <w:spacing w:val="0"/>
          <w:position w:val="0"/>
          <w:sz w:val="28"/>
          <w:shd w:fill="FFFF00" w:val="clear"/>
        </w:rPr>
        <w:t xml:space="preserve">приобретение цифровых финансовых активов и цифровых валют.</w:t>
      </w:r>
      <w:r>
        <w:rPr>
          <w:rFonts w:ascii="Times New Roman" w:hAnsi="Times New Roman" w:cs="Times New Roman" w:eastAsia="Times New Roman"/>
          <w:color w:val="auto"/>
          <w:spacing w:val="0"/>
          <w:position w:val="0"/>
          <w:sz w:val="28"/>
          <w:shd w:fill="FFFF00" w:val="clear"/>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spacing w:before="0" w:after="0" w:line="24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3. СВЕДЕНИЯ ОБ ИМУЩЕСТВЕ</w:t>
      </w:r>
    </w:p>
    <w:p>
      <w:pPr>
        <w:spacing w:before="0" w:after="0" w:line="240"/>
        <w:ind w:right="0" w:left="0" w:firstLine="851"/>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Подраздел 3.1 Недвижимое имущество</w:t>
      </w:r>
    </w:p>
    <w:p>
      <w:pPr>
        <w:spacing w:before="0" w:after="0" w:line="240"/>
        <w:ind w:right="0" w:left="567" w:firstLine="0"/>
        <w:jc w:val="both"/>
        <w:rPr>
          <w:rFonts w:ascii="Times New Roman" w:hAnsi="Times New Roman" w:cs="Times New Roman" w:eastAsia="Times New Roman"/>
          <w:color w:val="auto"/>
          <w:spacing w:val="0"/>
          <w:position w:val="0"/>
          <w:sz w:val="28"/>
          <w:shd w:fill="auto" w:val="clear"/>
        </w:rPr>
      </w:pPr>
    </w:p>
    <w:p>
      <w:pPr>
        <w:numPr>
          <w:ilvl w:val="0"/>
          <w:numId w:val="23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Понятие недвижимого имущества установлено статьей</w:t>
      </w:r>
      <w:r>
        <w:rPr>
          <w:rFonts w:ascii="Times New Roman" w:hAnsi="Times New Roman" w:cs="Times New Roman" w:eastAsia="Times New Roman"/>
          <w:color w:val="auto"/>
          <w:spacing w:val="0"/>
          <w:position w:val="0"/>
          <w:sz w:val="28"/>
          <w:shd w:fill="auto" w:val="clear"/>
        </w:rPr>
        <w:t xml:space="preserve"> 130 </w:t>
      </w:r>
      <w:r>
        <w:rPr>
          <w:rFonts w:ascii="Times New Roman" w:hAnsi="Times New Roman" w:cs="Times New Roman" w:eastAsia="Times New Roman"/>
          <w:color w:val="auto"/>
          <w:spacing w:val="0"/>
          <w:position w:val="0"/>
          <w:sz w:val="28"/>
          <w:shd w:fill="auto" w:val="clear"/>
        </w:rPr>
        <w:t xml:space="preserve">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буровые скважины, распределительный газопровод среднего или низкого давления, линии электропередачи, линии связи и др.).</w:t>
      </w:r>
    </w:p>
    <w:p>
      <w:pPr>
        <w:numPr>
          <w:ilvl w:val="0"/>
          <w:numId w:val="23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cs="Times New Roman" w:eastAsia="Times New Roman"/>
          <w:color w:val="auto"/>
          <w:spacing w:val="0"/>
          <w:position w:val="0"/>
          <w:sz w:val="28"/>
          <w:shd w:fill="FFFFFF" w:val="clear"/>
        </w:rPr>
        <w:t xml:space="preserve">гражданину, зарегистрированному в качестве индивидуального предпринимателя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pPr>
        <w:numPr>
          <w:ilvl w:val="0"/>
          <w:numId w:val="233"/>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w:t>
      </w: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статьи</w:t>
      </w: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Федерального закона от 13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июля 2015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218-</w:t>
      </w:r>
      <w:r>
        <w:rPr>
          <w:rFonts w:ascii="Times New Roman" w:hAnsi="Times New Roman" w:cs="Times New Roman" w:eastAsia="Times New Roman"/>
          <w:color w:val="auto"/>
          <w:spacing w:val="0"/>
          <w:position w:val="0"/>
          <w:sz w:val="28"/>
          <w:shd w:fill="auto" w:val="clear"/>
        </w:rPr>
        <w:t xml:space="preserve">ФЗ "О государственной регистрации недвижимости").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pPr>
        <w:numPr>
          <w:ilvl w:val="0"/>
          <w:numId w:val="235"/>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pPr>
        <w:numPr>
          <w:ilvl w:val="0"/>
          <w:numId w:val="235"/>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numPr>
          <w:ilvl w:val="0"/>
          <w:numId w:val="235"/>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Заполнение графы </w:t>
      </w:r>
      <w:r>
        <w:rPr>
          <w:rFonts w:ascii="Times New Roman" w:hAnsi="Times New Roman" w:cs="Times New Roman" w:eastAsia="Times New Roman"/>
          <w:b/>
          <w:color w:val="auto"/>
          <w:spacing w:val="0"/>
          <w:position w:val="0"/>
          <w:sz w:val="28"/>
          <w:shd w:fill="auto" w:val="clear"/>
        </w:rPr>
        <w:t xml:space="preserve">"Вид и наименование имущества" </w:t>
      </w:r>
    </w:p>
    <w:p>
      <w:pPr>
        <w:numPr>
          <w:ilvl w:val="0"/>
          <w:numId w:val="238"/>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указании сведений о </w:t>
      </w:r>
      <w:r>
        <w:rPr>
          <w:rFonts w:ascii="Times New Roman" w:hAnsi="Times New Roman" w:cs="Times New Roman" w:eastAsia="Times New Roman"/>
          <w:b/>
          <w:color w:val="auto"/>
          <w:spacing w:val="0"/>
          <w:position w:val="0"/>
          <w:sz w:val="28"/>
          <w:shd w:fill="auto" w:val="clear"/>
        </w:rPr>
        <w:t xml:space="preserve">земельных участках</w:t>
      </w:r>
      <w:r>
        <w:rPr>
          <w:rFonts w:ascii="Times New Roman" w:hAnsi="Times New Roman" w:cs="Times New Roman" w:eastAsia="Times New Roman"/>
          <w:color w:val="auto"/>
          <w:spacing w:val="0"/>
          <w:position w:val="0"/>
          <w:sz w:val="28"/>
          <w:shd w:fill="auto" w:val="clear"/>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садовый земельный участок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огородный земельный участок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pPr>
        <w:numPr>
          <w:ilvl w:val="0"/>
          <w:numId w:val="240"/>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со статьей</w:t>
      </w: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Федерального закона от 7</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июля 2003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112-</w:t>
      </w:r>
      <w:r>
        <w:rPr>
          <w:rFonts w:ascii="Times New Roman" w:hAnsi="Times New Roman" w:cs="Times New Roman" w:eastAsia="Times New Roman"/>
          <w:color w:val="auto"/>
          <w:spacing w:val="0"/>
          <w:position w:val="0"/>
          <w:sz w:val="28"/>
          <w:shd w:fill="auto" w:val="clear"/>
        </w:rPr>
        <w:t xml:space="preserve">ФЗ "О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numPr>
          <w:ilvl w:val="0"/>
          <w:numId w:val="240"/>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pPr>
        <w:numPr>
          <w:ilvl w:val="0"/>
          <w:numId w:val="240"/>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При наличии в собственности </w:t>
      </w:r>
      <w:r>
        <w:rPr>
          <w:rFonts w:ascii="Times New Roman" w:hAnsi="Times New Roman" w:cs="Times New Roman" w:eastAsia="Times New Roman"/>
          <w:b/>
          <w:color w:val="000000"/>
          <w:spacing w:val="0"/>
          <w:position w:val="0"/>
          <w:sz w:val="28"/>
          <w:shd w:fill="FFFFFF" w:val="clear"/>
        </w:rPr>
        <w:t xml:space="preserve">жилого или садового дома,</w:t>
      </w:r>
      <w:r>
        <w:rPr>
          <w:rFonts w:ascii="Times New Roman" w:hAnsi="Times New Roman" w:cs="Times New Roman" w:eastAsia="Times New Roman"/>
          <w:color w:val="000000"/>
          <w:spacing w:val="0"/>
          <w:position w:val="0"/>
          <w:sz w:val="28"/>
          <w:shd w:fill="FFFFFF" w:val="clear"/>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cs="Times New Roman" w:eastAsia="Times New Roman"/>
          <w:color w:val="auto"/>
          <w:spacing w:val="0"/>
          <w:position w:val="0"/>
          <w:sz w:val="28"/>
          <w:shd w:fill="auto" w:val="clear"/>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numPr>
          <w:ilvl w:val="0"/>
          <w:numId w:val="240"/>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В строке</w:t>
      </w:r>
      <w:r>
        <w:rPr>
          <w:rFonts w:ascii="Times New Roman" w:hAnsi="Times New Roman" w:cs="Times New Roman" w:eastAsia="Times New Roman"/>
          <w:color w:val="000000"/>
          <w:spacing w:val="0"/>
          <w:position w:val="0"/>
          <w:sz w:val="28"/>
          <w:shd w:fill="FFFFFF" w:val="clear"/>
        </w:rPr>
        <w:t xml:space="preserve"> 4 "</w:t>
      </w:r>
      <w:r>
        <w:rPr>
          <w:rFonts w:ascii="Times New Roman" w:hAnsi="Times New Roman" w:cs="Times New Roman" w:eastAsia="Times New Roman"/>
          <w:b/>
          <w:color w:val="000000"/>
          <w:spacing w:val="0"/>
          <w:position w:val="0"/>
          <w:sz w:val="28"/>
          <w:shd w:fill="FFFFFF" w:val="clear"/>
        </w:rPr>
        <w:t xml:space="preserve">Гаражи</w:t>
      </w:r>
      <w:r>
        <w:rPr>
          <w:rFonts w:ascii="Times New Roman" w:hAnsi="Times New Roman" w:cs="Times New Roman" w:eastAsia="Times New Roman"/>
          <w:color w:val="000000"/>
          <w:spacing w:val="0"/>
          <w:position w:val="0"/>
          <w:sz w:val="28"/>
          <w:shd w:fill="FFFFFF" w:val="clear"/>
        </w:rPr>
        <w:t xml:space="preserve">" указывается информация об </w:t>
      </w:r>
      <w:r>
        <w:rPr>
          <w:rFonts w:ascii="Times New Roman" w:hAnsi="Times New Roman" w:cs="Times New Roman" w:eastAsia="Times New Roman"/>
          <w:color w:val="auto"/>
          <w:spacing w:val="0"/>
          <w:position w:val="0"/>
          <w:sz w:val="28"/>
          <w:shd w:fill="auto" w:val="clear"/>
        </w:rPr>
        <w:t xml:space="preserve">организованных местах хранения автотранспорта - "гараж", "м</w:t>
      </w:r>
      <w:r>
        <w:rPr>
          <w:rFonts w:ascii="Times New Roman" w:hAnsi="Times New Roman" w:cs="Times New Roman" w:eastAsia="Times New Roman"/>
          <w:color w:val="000000"/>
          <w:spacing w:val="0"/>
          <w:position w:val="0"/>
          <w:sz w:val="28"/>
          <w:shd w:fill="FFFFFF" w:val="clear"/>
        </w:rPr>
        <w:t xml:space="preserve">ашино-место" и другие на основании </w:t>
      </w:r>
      <w:r>
        <w:rPr>
          <w:rFonts w:ascii="Times New Roman" w:hAnsi="Times New Roman" w:cs="Times New Roman" w:eastAsia="Times New Roman"/>
          <w:color w:val="auto"/>
          <w:spacing w:val="0"/>
          <w:position w:val="0"/>
          <w:sz w:val="28"/>
          <w:shd w:fill="auto" w:val="clear"/>
        </w:rPr>
        <w:t xml:space="preserve">свидетельства о регистрации права собственности (иного правоустанавливающего документа).</w:t>
      </w:r>
      <w:r>
        <w:rPr>
          <w:rFonts w:ascii="Times New Roman" w:hAnsi="Times New Roman" w:cs="Times New Roman" w:eastAsia="Times New Roman"/>
          <w:color w:val="auto"/>
          <w:spacing w:val="0"/>
          <w:position w:val="0"/>
          <w:sz w:val="28"/>
          <w:shd w:fill="FFFFFF" w:val="clear"/>
        </w:rPr>
        <w:t xml:space="preserve"> Земельный участок, на котором расположен гараж, являющийся обособленным строением, </w:t>
      </w:r>
      <w:r>
        <w:rPr>
          <w:rFonts w:ascii="Times New Roman" w:hAnsi="Times New Roman" w:cs="Times New Roman" w:eastAsia="Times New Roman"/>
          <w:color w:val="auto"/>
          <w:spacing w:val="0"/>
          <w:position w:val="0"/>
          <w:sz w:val="28"/>
          <w:shd w:fill="auto" w:val="clear"/>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numPr>
          <w:ilvl w:val="0"/>
          <w:numId w:val="240"/>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"Вид собственности"</w:t>
      </w:r>
      <w:r>
        <w:rPr>
          <w:rFonts w:ascii="Times New Roman" w:hAnsi="Times New Roman" w:cs="Times New Roman" w:eastAsia="Times New Roman"/>
          <w:color w:val="auto"/>
          <w:spacing w:val="0"/>
          <w:position w:val="0"/>
          <w:sz w:val="28"/>
          <w:shd w:fill="auto" w:val="clear"/>
        </w:rPr>
        <w:t xml:space="preserve"> указывается вид собственности на имущество (индивидуальная, общая совместная, общая долевая). </w:t>
      </w:r>
    </w:p>
    <w:p>
      <w:pPr>
        <w:numPr>
          <w:ilvl w:val="0"/>
          <w:numId w:val="240"/>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numPr>
          <w:ilvl w:val="0"/>
          <w:numId w:val="240"/>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pPr>
        <w:numPr>
          <w:ilvl w:val="0"/>
          <w:numId w:val="240"/>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Местонахождение (адрес)</w:t>
      </w:r>
      <w:r>
        <w:rPr>
          <w:rFonts w:ascii="Times New Roman" w:hAnsi="Times New Roman" w:cs="Times New Roman" w:eastAsia="Times New Roman"/>
          <w:color w:val="auto"/>
          <w:spacing w:val="0"/>
          <w:position w:val="0"/>
          <w:sz w:val="28"/>
          <w:shd w:fill="auto" w:val="clear"/>
        </w:rPr>
        <w:t xml:space="preserve"> недвижимого имущества указывается согласно правоустанавливающим документам. При этом указывается: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субъект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район;</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город, иной населенный пункт (село, поселок и т.д.);</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улица (проспект, переулок и т.д.);</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номер дома (владения, участка), корпуса (строения), квартиры.</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Также рекомендуется указывать индекс.</w:t>
      </w:r>
    </w:p>
    <w:p>
      <w:pPr>
        <w:numPr>
          <w:ilvl w:val="0"/>
          <w:numId w:val="242"/>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недвижимое имущество находится за рубежом, то указывается: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наименование государства;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населенный пункт (иная единица административно-территориального деления);</w:t>
      </w:r>
    </w:p>
    <w:p>
      <w:pPr>
        <w:spacing w:before="0" w:after="0" w:line="240"/>
        <w:ind w:right="0" w:left="0" w:firstLine="567"/>
        <w:jc w:val="both"/>
        <w:rPr>
          <w:rFonts w:ascii="Times New Roman" w:hAnsi="Times New Roman" w:cs="Times New Roman" w:eastAsia="Times New Roman"/>
          <w:strike w:val="true"/>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почтовый адрес.</w:t>
      </w:r>
    </w:p>
    <w:p>
      <w:pPr>
        <w:numPr>
          <w:ilvl w:val="0"/>
          <w:numId w:val="244"/>
        </w:num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auto"/>
          <w:spacing w:val="0"/>
          <w:position w:val="0"/>
          <w:sz w:val="28"/>
          <w:shd w:fill="auto" w:val="clear"/>
        </w:rPr>
        <w:t xml:space="preserve">Площадь </w:t>
      </w:r>
      <w:r>
        <w:rPr>
          <w:rFonts w:ascii="Times New Roman" w:hAnsi="Times New Roman" w:cs="Times New Roman" w:eastAsia="Times New Roman"/>
          <w:color w:val="auto"/>
          <w:spacing w:val="0"/>
          <w:position w:val="0"/>
          <w:sz w:val="28"/>
          <w:shd w:fill="auto" w:val="clear"/>
        </w:rPr>
        <w:t xml:space="preserve">объекта недвижимого имущества указывается на основании правоустанавливающих документов. Е</w:t>
      </w:r>
      <w:r>
        <w:rPr>
          <w:rFonts w:ascii="Times New Roman" w:hAnsi="Times New Roman" w:cs="Times New Roman" w:eastAsia="Times New Roman"/>
          <w:color w:val="000000"/>
          <w:spacing w:val="0"/>
          <w:position w:val="0"/>
          <w:sz w:val="28"/>
          <w:shd w:fill="FFFFFF" w:val="clear"/>
        </w:rPr>
        <w:t xml:space="preserve">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numPr>
          <w:ilvl w:val="0"/>
          <w:numId w:val="244"/>
        </w:num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июля 2017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217-</w:t>
      </w:r>
      <w:r>
        <w:rPr>
          <w:rFonts w:ascii="Times New Roman" w:hAnsi="Times New Roman" w:cs="Times New Roman" w:eastAsia="Times New Roman"/>
          <w:color w:val="auto"/>
          <w:spacing w:val="0"/>
          <w:position w:val="0"/>
          <w:sz w:val="28"/>
          <w:shd w:fill="auto" w:val="clear"/>
        </w:rPr>
        <w:t xml:space="preserve">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Основание приобретения и источники средств</w:t>
      </w:r>
    </w:p>
    <w:p>
      <w:pPr>
        <w:numPr>
          <w:ilvl w:val="0"/>
          <w:numId w:val="246"/>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numPr>
          <w:ilvl w:val="0"/>
          <w:numId w:val="248"/>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право на недвижимое имущество возникло до вступления в силу Федерального закона от 21 июля 1997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122-</w:t>
      </w:r>
      <w:r>
        <w:rPr>
          <w:rFonts w:ascii="Times New Roman" w:hAnsi="Times New Roman" w:cs="Times New Roman" w:eastAsia="Times New Roman"/>
          <w:color w:val="auto"/>
          <w:spacing w:val="0"/>
          <w:position w:val="0"/>
          <w:sz w:val="28"/>
          <w:shd w:fill="auto" w:val="clear"/>
        </w:rPr>
        <w:t xml:space="preserve">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1-345/95 </w:t>
      </w:r>
      <w:r>
        <w:rPr>
          <w:rFonts w:ascii="Times New Roman" w:hAnsi="Times New Roman" w:cs="Times New Roman" w:eastAsia="Times New Roman"/>
          <w:color w:val="auto"/>
          <w:spacing w:val="0"/>
          <w:position w:val="0"/>
          <w:sz w:val="28"/>
          <w:shd w:fill="auto" w:val="clear"/>
        </w:rPr>
        <w:t xml:space="preserve">о передаче недвижимого имущества в собственность и др.).</w:t>
      </w:r>
    </w:p>
    <w:p>
      <w:pPr>
        <w:numPr>
          <w:ilvl w:val="0"/>
          <w:numId w:val="248"/>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77:02:0014017:1994-72/004/2021-2 </w:t>
      </w:r>
      <w:r>
        <w:rPr>
          <w:rFonts w:ascii="Times New Roman" w:hAnsi="Times New Roman" w:cs="Times New Roman" w:eastAsia="Times New Roman"/>
          <w:color w:val="auto"/>
          <w:spacing w:val="0"/>
          <w:position w:val="0"/>
          <w:sz w:val="28"/>
          <w:shd w:fill="auto" w:val="clear"/>
        </w:rPr>
        <w:t xml:space="preserve">от 27 марта 2021 г.; договор купли-продажи от 19</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февраля 2021 г. или иное.</w:t>
      </w:r>
    </w:p>
    <w:p>
      <w:pPr>
        <w:numPr>
          <w:ilvl w:val="0"/>
          <w:numId w:val="248"/>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Обязанность сообщать сведения об </w:t>
      </w:r>
      <w:r>
        <w:rPr>
          <w:rFonts w:ascii="Times New Roman" w:hAnsi="Times New Roman" w:cs="Times New Roman" w:eastAsia="Times New Roman"/>
          <w:b/>
          <w:color w:val="auto"/>
          <w:spacing w:val="0"/>
          <w:position w:val="0"/>
          <w:sz w:val="28"/>
          <w:shd w:fill="auto" w:val="clear"/>
        </w:rPr>
        <w:t xml:space="preserve">источнике средств</w:t>
      </w:r>
      <w:r>
        <w:rPr>
          <w:rFonts w:ascii="Times New Roman" w:hAnsi="Times New Roman" w:cs="Times New Roman" w:eastAsia="Times New Roman"/>
          <w:color w:val="auto"/>
          <w:spacing w:val="0"/>
          <w:position w:val="0"/>
          <w:sz w:val="28"/>
          <w:shd w:fill="auto" w:val="clear"/>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cs="Times New Roman" w:eastAsia="Times New Roman"/>
          <w:b/>
          <w:color w:val="auto"/>
          <w:spacing w:val="0"/>
          <w:position w:val="0"/>
          <w:sz w:val="28"/>
          <w:shd w:fill="auto" w:val="clear"/>
        </w:rPr>
        <w:t xml:space="preserve">только</w:t>
      </w:r>
      <w:r>
        <w:rPr>
          <w:rFonts w:ascii="Times New Roman" w:hAnsi="Times New Roman" w:cs="Times New Roman" w:eastAsia="Times New Roman"/>
          <w:color w:val="auto"/>
          <w:spacing w:val="0"/>
          <w:position w:val="0"/>
          <w:sz w:val="28"/>
          <w:shd w:fill="auto" w:val="clear"/>
        </w:rPr>
        <w:t xml:space="preserve"> на лиц, указанных в части</w:t>
      </w: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статьи 2 Федерального закона от 7 мая 2013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79-</w:t>
      </w:r>
      <w:r>
        <w:rPr>
          <w:rFonts w:ascii="Times New Roman" w:hAnsi="Times New Roman" w:cs="Times New Roman" w:eastAsia="Times New Roman"/>
          <w:color w:val="auto"/>
          <w:spacing w:val="0"/>
          <w:position w:val="0"/>
          <w:sz w:val="28"/>
          <w:shd w:fill="auto" w:val="clear"/>
        </w:rPr>
        <w:t xml:space="preserve">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на лиц, замещающих (занимающих):</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государственные должности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первого заместителя и заместителей Генерального прокурора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членов Совета директоров Центрального банка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государственные должности субъектов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заместителей руководителей федеральных органов исполнительной власти;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на супруг (супругов), несовершеннолетних детей лиц, указанных в абзацах втором-десятом подпункта 1 настоящего пункта;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иных лиц в случаях, предусмотренных федеральными законами.</w:t>
      </w:r>
    </w:p>
    <w:p>
      <w:pPr>
        <w:numPr>
          <w:ilvl w:val="0"/>
          <w:numId w:val="250"/>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cs="Times New Roman" w:eastAsia="Times New Roman"/>
          <w:b/>
          <w:color w:val="auto"/>
          <w:spacing w:val="0"/>
          <w:position w:val="0"/>
          <w:sz w:val="28"/>
          <w:shd w:fill="auto" w:val="clear"/>
        </w:rPr>
        <w:t xml:space="preserve">исключительно</w:t>
      </w:r>
      <w:r>
        <w:rPr>
          <w:rFonts w:ascii="Times New Roman" w:hAnsi="Times New Roman" w:cs="Times New Roman" w:eastAsia="Times New Roman"/>
          <w:color w:val="auto"/>
          <w:spacing w:val="0"/>
          <w:position w:val="0"/>
          <w:sz w:val="28"/>
          <w:shd w:fill="auto" w:val="clear"/>
        </w:rPr>
        <w:t xml:space="preserve"> за пределами территории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 вышеуказанном источнике отображаются в справке ежегодно, вне зависимости от года приобретения имущества.</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Подраздел 3.2. Транспортные средства</w:t>
      </w:r>
    </w:p>
    <w:p>
      <w:pPr>
        <w:numPr>
          <w:ilvl w:val="0"/>
          <w:numId w:val="252"/>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cs="Times New Roman" w:eastAsia="Times New Roman"/>
          <w:color w:val="auto"/>
          <w:spacing w:val="0"/>
          <w:position w:val="0"/>
          <w:sz w:val="28"/>
          <w:shd w:fill="auto" w:val="clear"/>
        </w:rPr>
        <w:t xml:space="preserve">переданные в пользование по доверенности,</w:t>
      </w:r>
      <w:r>
        <w:rPr>
          <w:rFonts w:ascii="Times New Roman" w:hAnsi="Times New Roman" w:cs="Times New Roman" w:eastAsia="Times New Roman"/>
          <w:color w:val="000000"/>
          <w:spacing w:val="0"/>
          <w:position w:val="0"/>
          <w:sz w:val="28"/>
          <w:shd w:fill="auto" w:val="clear"/>
        </w:rPr>
        <w:t xml:space="preserve"> находящиеся в угоне, в залоге у банка, полностью негодные к </w:t>
      </w:r>
      <w:r>
        <w:rPr>
          <w:rFonts w:ascii="Times New Roman" w:hAnsi="Times New Roman" w:cs="Times New Roman" w:eastAsia="Times New Roman"/>
          <w:color w:val="auto"/>
          <w:spacing w:val="0"/>
          <w:position w:val="0"/>
          <w:sz w:val="28"/>
          <w:shd w:fill="auto" w:val="clear"/>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cs="Times New Roman" w:eastAsia="Times New Roman"/>
          <w:color w:val="auto"/>
          <w:spacing w:val="0"/>
          <w:position w:val="0"/>
          <w:sz w:val="28"/>
          <w:shd w:fill="FFFFFF" w:val="clear"/>
        </w:rPr>
        <w:t xml:space="preserve">гражданину, зарегистрированному в качестве индивидуального предпринимателя</w:t>
      </w:r>
      <w:r>
        <w:rPr>
          <w:rFonts w:ascii="Times New Roman" w:hAnsi="Times New Roman" w:cs="Times New Roman" w:eastAsia="Times New Roman"/>
          <w:color w:val="auto"/>
          <w:spacing w:val="0"/>
          <w:position w:val="0"/>
          <w:sz w:val="28"/>
          <w:shd w:fill="auto" w:val="clear"/>
        </w:rPr>
        <w:t xml:space="preserve">.</w:t>
      </w:r>
    </w:p>
    <w:p>
      <w:pPr>
        <w:numPr>
          <w:ilvl w:val="0"/>
          <w:numId w:val="254"/>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cs="Times New Roman" w:eastAsia="Times New Roman"/>
          <w:color w:val="auto"/>
          <w:spacing w:val="0"/>
          <w:position w:val="0"/>
          <w:sz w:val="28"/>
          <w:shd w:fill="auto" w:val="clear"/>
        </w:rPr>
        <w:t xml:space="preserve"> 6 </w:t>
      </w:r>
      <w:r>
        <w:rPr>
          <w:rFonts w:ascii="Times New Roman" w:hAnsi="Times New Roman" w:cs="Times New Roman" w:eastAsia="Times New Roman"/>
          <w:color w:val="auto"/>
          <w:spacing w:val="0"/>
          <w:position w:val="0"/>
          <w:sz w:val="28"/>
          <w:shd w:fill="auto" w:val="clear"/>
        </w:rPr>
        <w:t xml:space="preserve">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1764).</w:t>
      </w:r>
    </w:p>
    <w:p>
      <w:pPr>
        <w:numPr>
          <w:ilvl w:val="0"/>
          <w:numId w:val="254"/>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pPr>
        <w:numPr>
          <w:ilvl w:val="0"/>
          <w:numId w:val="254"/>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18-</w:t>
      </w:r>
      <w:r>
        <w:rPr>
          <w:rFonts w:ascii="Times New Roman" w:hAnsi="Times New Roman" w:cs="Times New Roman" w:eastAsia="Times New Roman"/>
          <w:color w:val="auto"/>
          <w:spacing w:val="0"/>
          <w:position w:val="0"/>
          <w:sz w:val="28"/>
          <w:shd w:fill="auto" w:val="clear"/>
        </w:rPr>
        <w:t xml:space="preserve">КГ19-9). Таким образом, в случае, например, если служащий до 31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декабря 2021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подразделе 3.2 раздела 3 справки служащего. </w:t>
      </w:r>
      <w:r>
        <w:rPr>
          <w:rFonts w:ascii="Times New Roman" w:hAnsi="Times New Roman" w:cs="Times New Roman" w:eastAsia="Times New Roman"/>
          <w:color w:val="000000"/>
          <w:spacing w:val="0"/>
          <w:position w:val="0"/>
          <w:sz w:val="28"/>
          <w:shd w:fill="auto" w:val="clear"/>
        </w:rPr>
        <w:t xml:space="preserve">При заполнении графы</w:t>
      </w:r>
      <w:r>
        <w:rPr>
          <w:rFonts w:ascii="Times New Roman" w:hAnsi="Times New Roman" w:cs="Times New Roman" w:eastAsia="Times New Roman"/>
          <w:b/>
          <w:color w:val="000000"/>
          <w:spacing w:val="0"/>
          <w:position w:val="0"/>
          <w:sz w:val="28"/>
          <w:shd w:fill="auto" w:val="clear"/>
        </w:rPr>
        <w:t xml:space="preserve"> "Место регистрации" </w:t>
      </w:r>
      <w:r>
        <w:rPr>
          <w:rFonts w:ascii="Times New Roman" w:hAnsi="Times New Roman" w:cs="Times New Roman" w:eastAsia="Times New Roman"/>
          <w:color w:val="000000"/>
          <w:spacing w:val="0"/>
          <w:position w:val="0"/>
          <w:sz w:val="28"/>
          <w:shd w:fill="auto" w:val="clear"/>
        </w:rPr>
        <w:t xml:space="preserve">указывается наименование органа внутренних дел, осуществившего </w:t>
      </w:r>
      <w:r>
        <w:rPr>
          <w:rFonts w:ascii="Times New Roman" w:hAnsi="Times New Roman" w:cs="Times New Roman" w:eastAsia="Times New Roman"/>
          <w:color w:val="auto"/>
          <w:spacing w:val="0"/>
          <w:position w:val="0"/>
          <w:sz w:val="28"/>
          <w:shd w:fill="auto" w:val="clear"/>
        </w:rPr>
        <w:t xml:space="preserve">регистрационный учет транспортного средства, например </w:t>
      </w:r>
      <w:hyperlink xmlns:r="http://schemas.openxmlformats.org/officeDocument/2006/relationships" r:id="docRId10">
        <w:r>
          <w:rPr>
            <w:rFonts w:ascii="Times New Roman" w:hAnsi="Times New Roman" w:cs="Times New Roman" w:eastAsia="Times New Roman"/>
            <w:color w:val="0000FF"/>
            <w:spacing w:val="0"/>
            <w:position w:val="0"/>
            <w:sz w:val="28"/>
            <w:u w:val="single"/>
            <w:shd w:fill="auto" w:val="clear"/>
          </w:rPr>
          <w:t xml:space="preserve">МО ГИБДД ТНРЭР </w:t>
        </w:r>
        <w:r>
          <w:rPr>
            <w:rFonts w:ascii="Segoe UI Symbol" w:hAnsi="Segoe UI Symbol" w:cs="Segoe UI Symbol" w:eastAsia="Segoe UI Symbol"/>
            <w:color w:val="0000FF"/>
            <w:spacing w:val="0"/>
            <w:position w:val="0"/>
            <w:sz w:val="28"/>
            <w:u w:val="single"/>
            <w:shd w:fill="auto" w:val="clear"/>
          </w:rPr>
          <w:t xml:space="preserve">№</w:t>
        </w:r>
        <w:r>
          <w:rPr>
            <w:rFonts w:ascii="Times New Roman" w:hAnsi="Times New Roman" w:cs="Times New Roman" w:eastAsia="Times New Roman"/>
            <w:color w:val="0000FF"/>
            <w:spacing w:val="0"/>
            <w:position w:val="0"/>
            <w:sz w:val="28"/>
            <w:u w:val="single"/>
            <w:shd w:fill="auto" w:val="clear"/>
          </w:rPr>
          <w:t xml:space="preserve"> 2 ГУ МВД России по г. Москве</w:t>
        </w:r>
      </w:hyperlink>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1">
        <w:r>
          <w:rPr>
            <w:rFonts w:ascii="Times New Roman" w:hAnsi="Times New Roman" w:cs="Times New Roman" w:eastAsia="Times New Roman"/>
            <w:color w:val="0000FF"/>
            <w:spacing w:val="0"/>
            <w:position w:val="0"/>
            <w:sz w:val="28"/>
            <w:u w:val="single"/>
            <w:shd w:fill="auto" w:val="clear"/>
          </w:rPr>
          <w:t xml:space="preserve">ОГИБДД ММО МВД России </w:t>
        </w:r>
        <w:r>
          <w:rPr>
            <w:rFonts w:ascii="Times New Roman" w:hAnsi="Times New Roman" w:cs="Times New Roman" w:eastAsia="Times New Roman"/>
            <w:color w:val="0000FF"/>
            <w:spacing w:val="0"/>
            <w:position w:val="0"/>
            <w:sz w:val="28"/>
            <w:shd w:fill="auto" w:val="clear"/>
          </w:rPr>
          <w:t xml:space="preserve"> HYPERLINK "https://www.gibdd.ru/r/66/contacts/div1165058/"</w:t>
        </w:r>
        <w:r>
          <w:rPr>
            <w:rFonts w:ascii="Times New Roman" w:hAnsi="Times New Roman" w:cs="Times New Roman" w:eastAsia="Times New Roman"/>
            <w:color w:val="0000FF"/>
            <w:spacing w:val="0"/>
            <w:position w:val="0"/>
            <w:sz w:val="28"/>
            <w:u w:val="single"/>
            <w:shd w:fill="auto" w:val="clear"/>
          </w:rPr>
          <w:t xml:space="preserve">"</w:t>
        </w:r>
        <w:r>
          <w:rPr>
            <w:rFonts w:ascii="Times New Roman" w:hAnsi="Times New Roman" w:cs="Times New Roman" w:eastAsia="Times New Roman"/>
            <w:color w:val="0000FF"/>
            <w:spacing w:val="0"/>
            <w:position w:val="0"/>
            <w:sz w:val="28"/>
            <w:shd w:fill="auto" w:val="clear"/>
          </w:rPr>
          <w:t xml:space="preserve"> HYPERLINK "https://www.gibdd.ru/r/66/contacts/div1165058/"</w:t>
        </w:r>
        <w:r>
          <w:rPr>
            <w:rFonts w:ascii="Times New Roman" w:hAnsi="Times New Roman" w:cs="Times New Roman" w:eastAsia="Times New Roman"/>
            <w:color w:val="0000FF"/>
            <w:spacing w:val="0"/>
            <w:position w:val="0"/>
            <w:sz w:val="28"/>
            <w:u w:val="single"/>
            <w:shd w:fill="auto" w:val="clear"/>
          </w:rPr>
          <w:t xml:space="preserve">Шалинский</w:t>
        </w:r>
      </w:hyperlink>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12">
        <w:r>
          <w:rPr>
            <w:rFonts w:ascii="Times New Roman" w:hAnsi="Times New Roman" w:cs="Times New Roman" w:eastAsia="Times New Roman"/>
            <w:color w:val="0000FF"/>
            <w:spacing w:val="0"/>
            <w:position w:val="0"/>
            <w:sz w:val="28"/>
            <w:u w:val="single"/>
            <w:shd w:fill="auto" w:val="clear"/>
          </w:rPr>
          <w:t xml:space="preserve">ОГИБДД ММО МВД России по </w:t>
        </w:r>
        <w:r>
          <w:rPr>
            <w:rFonts w:ascii="Times New Roman" w:hAnsi="Times New Roman" w:cs="Times New Roman" w:eastAsia="Times New Roman"/>
            <w:color w:val="0000FF"/>
            <w:spacing w:val="0"/>
            <w:position w:val="0"/>
            <w:sz w:val="28"/>
            <w:shd w:fill="auto" w:val="clear"/>
          </w:rPr>
          <w:t xml:space="preserve"> HYPERLINK "https://www.gibdd.ru/r/66/contacts/div1165043/"</w:t>
        </w:r>
        <w:r>
          <w:rPr>
            <w:rFonts w:ascii="Times New Roman" w:hAnsi="Times New Roman" w:cs="Times New Roman" w:eastAsia="Times New Roman"/>
            <w:color w:val="0000FF"/>
            <w:spacing w:val="0"/>
            <w:position w:val="0"/>
            <w:sz w:val="28"/>
            <w:u w:val="single"/>
            <w:shd w:fill="auto" w:val="clear"/>
          </w:rPr>
          <w:t xml:space="preserve">Новолялинскому</w:t>
        </w:r>
        <w:r>
          <w:rPr>
            <w:rFonts w:ascii="Times New Roman" w:hAnsi="Times New Roman" w:cs="Times New Roman" w:eastAsia="Times New Roman"/>
            <w:color w:val="0000FF"/>
            <w:spacing w:val="0"/>
            <w:position w:val="0"/>
            <w:sz w:val="28"/>
            <w:shd w:fill="auto" w:val="clear"/>
          </w:rPr>
          <w:t xml:space="preserve"> HYPERLINK "https://www.gibdd.ru/r/66/contacts/div1165043/"</w:t>
        </w:r>
        <w:r>
          <w:rPr>
            <w:rFonts w:ascii="Times New Roman" w:hAnsi="Times New Roman" w:cs="Times New Roman" w:eastAsia="Times New Roman"/>
            <w:color w:val="0000FF"/>
            <w:spacing w:val="0"/>
            <w:position w:val="0"/>
            <w:sz w:val="28"/>
            <w:u w:val="single"/>
            <w:shd w:fill="auto" w:val="clear"/>
          </w:rPr>
          <w:t xml:space="preserve"> </w:t>
        </w:r>
        <w:r>
          <w:rPr>
            <w:rFonts w:ascii="Times New Roman" w:hAnsi="Times New Roman" w:cs="Times New Roman" w:eastAsia="Times New Roman"/>
            <w:color w:val="0000FF"/>
            <w:spacing w:val="0"/>
            <w:position w:val="0"/>
            <w:sz w:val="28"/>
            <w:u w:val="single"/>
            <w:shd w:fill="auto" w:val="clear"/>
          </w:rPr>
          <w:t xml:space="preserve">району</w:t>
        </w:r>
      </w:hyperlink>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отд. МОТОТРЭР ГИБДД УВД по ЦАО г. Москвы и т.д. Указанные данные заполняются </w:t>
      </w:r>
      <w:r>
        <w:rPr>
          <w:rFonts w:ascii="Times New Roman" w:hAnsi="Times New Roman" w:cs="Times New Roman" w:eastAsia="Times New Roman"/>
          <w:color w:val="000000"/>
          <w:spacing w:val="0"/>
          <w:position w:val="0"/>
          <w:sz w:val="28"/>
          <w:shd w:fill="auto" w:val="clear"/>
        </w:rPr>
        <w:t xml:space="preserve">согласно </w:t>
      </w:r>
      <w:r>
        <w:rPr>
          <w:rFonts w:ascii="Times New Roman" w:hAnsi="Times New Roman" w:cs="Times New Roman" w:eastAsia="Times New Roman"/>
          <w:color w:val="auto"/>
          <w:spacing w:val="0"/>
          <w:position w:val="0"/>
          <w:sz w:val="28"/>
          <w:shd w:fill="auto" w:val="clear"/>
        </w:rPr>
        <w:t xml:space="preserve">паспорту транспортного средства.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Также допускается указание кода подразделения ГИБДД в соответствии со свидетельством о регистрации транспортного средства.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отсутствия регистрации допускается указать "Отсутствует". </w:t>
      </w:r>
    </w:p>
    <w:p>
      <w:pPr>
        <w:numPr>
          <w:ilvl w:val="0"/>
          <w:numId w:val="257"/>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Аналогичным подходом необходимо руководствоваться при указании в данном подразделе водного, воздушного транспорта.</w:t>
      </w:r>
    </w:p>
    <w:p>
      <w:pPr>
        <w:numPr>
          <w:ilvl w:val="0"/>
          <w:numId w:val="257"/>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строке 7 "Иные транспортные средства" подлежат указанию, в частности, прицепы, зарегистрированные в установленном порядке.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Подраздел 3.3. Цифровые финансовые активы, цифровые права, включающие одновременно цифровые финансовые активы и иные цифровые права</w:t>
      </w:r>
    </w:p>
    <w:p>
      <w:pPr>
        <w:numPr>
          <w:ilvl w:val="0"/>
          <w:numId w:val="259"/>
        </w:num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со статьей 1 Федерального закона от 31 июля 2020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259-</w:t>
      </w:r>
      <w:r>
        <w:rPr>
          <w:rFonts w:ascii="Times New Roman" w:hAnsi="Times New Roman" w:cs="Times New Roman" w:eastAsia="Times New Roman"/>
          <w:color w:val="auto"/>
          <w:spacing w:val="0"/>
          <w:position w:val="0"/>
          <w:sz w:val="28"/>
          <w:shd w:fill="auto" w:val="clear"/>
        </w:rPr>
        <w:t xml:space="preserve">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иным цифровым правам могут быть отнесены утилитарные цифровые права.</w:t>
      </w:r>
    </w:p>
    <w:p>
      <w:pPr>
        <w:numPr>
          <w:ilvl w:val="0"/>
          <w:numId w:val="261"/>
        </w:num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Наименование цифрового финансового актива или цифрового права</w:t>
      </w:r>
      <w:r>
        <w:rPr>
          <w:rFonts w:ascii="Times New Roman" w:hAnsi="Times New Roman" w:cs="Times New Roman" w:eastAsia="Times New Roman"/>
          <w:color w:val="auto"/>
          <w:spacing w:val="0"/>
          <w:position w:val="0"/>
          <w:sz w:val="28"/>
          <w:shd w:fill="auto" w:val="clear"/>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numPr>
          <w:ilvl w:val="0"/>
          <w:numId w:val="261"/>
        </w:num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Дата приобретения</w:t>
      </w:r>
      <w:r>
        <w:rPr>
          <w:rFonts w:ascii="Times New Roman" w:hAnsi="Times New Roman" w:cs="Times New Roman" w:eastAsia="Times New Roman"/>
          <w:color w:val="auto"/>
          <w:spacing w:val="0"/>
          <w:position w:val="0"/>
          <w:sz w:val="28"/>
          <w:shd w:fill="auto" w:val="clear"/>
        </w:rPr>
        <w:t xml:space="preserve">" указывается дата приобретения цифрового финансового актива или цифрового права.</w:t>
      </w:r>
    </w:p>
    <w:p>
      <w:pPr>
        <w:numPr>
          <w:ilvl w:val="0"/>
          <w:numId w:val="261"/>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Общее количество</w:t>
      </w:r>
      <w:r>
        <w:rPr>
          <w:rFonts w:ascii="Times New Roman" w:hAnsi="Times New Roman" w:cs="Times New Roman" w:eastAsia="Times New Roman"/>
          <w:color w:val="auto"/>
          <w:spacing w:val="0"/>
          <w:position w:val="0"/>
          <w:sz w:val="28"/>
          <w:shd w:fill="auto" w:val="clear"/>
        </w:rPr>
        <w:t xml:space="preserve">" указывается общее количество приобретенных цифровых финансовых активов или цифровых прав.</w:t>
      </w:r>
    </w:p>
    <w:p>
      <w:pPr>
        <w:numPr>
          <w:ilvl w:val="0"/>
          <w:numId w:val="261"/>
        </w:num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Сведения об операторе информационной системы, в которой осуществляется выпуск цифровых финансовых активов</w:t>
      </w:r>
      <w:r>
        <w:rPr>
          <w:rFonts w:ascii="Times New Roman" w:hAnsi="Times New Roman" w:cs="Times New Roman" w:eastAsia="Times New Roman"/>
          <w:color w:val="auto"/>
          <w:spacing w:val="0"/>
          <w:position w:val="0"/>
          <w:sz w:val="28"/>
          <w:shd w:fill="auto" w:val="clear"/>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Подраздел 3.4. Утилитарные цифровые права</w:t>
      </w:r>
    </w:p>
    <w:p>
      <w:pPr>
        <w:numPr>
          <w:ilvl w:val="0"/>
          <w:numId w:val="265"/>
        </w:num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со статьей 8 Федерального закона от 2 августа 2019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259-</w:t>
      </w:r>
      <w:r>
        <w:rPr>
          <w:rFonts w:ascii="Times New Roman" w:hAnsi="Times New Roman" w:cs="Times New Roman" w:eastAsia="Times New Roman"/>
          <w:color w:val="auto"/>
          <w:spacing w:val="0"/>
          <w:position w:val="0"/>
          <w:sz w:val="28"/>
          <w:shd w:fill="auto" w:val="clear"/>
        </w:rPr>
        <w:t xml:space="preserve">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право требовать передачи вещи (вещей);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право требовать выполнения работ и (или) оказания услуг.</w:t>
      </w:r>
    </w:p>
    <w:p>
      <w:pPr>
        <w:numPr>
          <w:ilvl w:val="0"/>
          <w:numId w:val="267"/>
        </w:num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Уникальное условное обозначение</w:t>
      </w:r>
      <w:r>
        <w:rPr>
          <w:rFonts w:ascii="Times New Roman" w:hAnsi="Times New Roman" w:cs="Times New Roman" w:eastAsia="Times New Roman"/>
          <w:color w:val="auto"/>
          <w:spacing w:val="0"/>
          <w:position w:val="0"/>
          <w:sz w:val="28"/>
          <w:shd w:fill="auto" w:val="clear"/>
        </w:rPr>
        <w:t xml:space="preserve">" указывается уникальное условное обозначение, идентифицирующее утилитарное цифровое право.</w:t>
      </w:r>
    </w:p>
    <w:p>
      <w:pPr>
        <w:numPr>
          <w:ilvl w:val="0"/>
          <w:numId w:val="267"/>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Дата приобретения</w:t>
      </w:r>
      <w:r>
        <w:rPr>
          <w:rFonts w:ascii="Times New Roman" w:hAnsi="Times New Roman" w:cs="Times New Roman" w:eastAsia="Times New Roman"/>
          <w:color w:val="auto"/>
          <w:spacing w:val="0"/>
          <w:position w:val="0"/>
          <w:sz w:val="28"/>
          <w:shd w:fill="auto" w:val="clear"/>
        </w:rPr>
        <w:t xml:space="preserve">" указывается дата приобретения утилитарного цифрового права.</w:t>
      </w:r>
    </w:p>
    <w:p>
      <w:pPr>
        <w:numPr>
          <w:ilvl w:val="0"/>
          <w:numId w:val="267"/>
        </w:num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Объем инвестиций (руб.)</w:t>
      </w:r>
      <w:r>
        <w:rPr>
          <w:rFonts w:ascii="Times New Roman" w:hAnsi="Times New Roman" w:cs="Times New Roman" w:eastAsia="Times New Roman"/>
          <w:color w:val="auto"/>
          <w:spacing w:val="0"/>
          <w:position w:val="0"/>
          <w:sz w:val="28"/>
          <w:shd w:fill="auto" w:val="clear"/>
        </w:rPr>
        <w:t xml:space="preserve">" указывается объем инвестиций в рублях в соответствии с договором инвестирования.</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Инвестиции, выраженные в иностранной валюте, указываются в рублях по курсу Банка России на дату их осуществления.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 инвестициями в соответствии с пунктом 2 части 1 статьи 2 Федерального закона от 2 августа 2019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259-</w:t>
      </w:r>
      <w:r>
        <w:rPr>
          <w:rFonts w:ascii="Times New Roman" w:hAnsi="Times New Roman" w:cs="Times New Roman" w:eastAsia="Times New Roman"/>
          <w:color w:val="auto"/>
          <w:spacing w:val="0"/>
          <w:position w:val="0"/>
          <w:sz w:val="28"/>
          <w:shd w:fill="auto" w:val="clear"/>
        </w:rPr>
        <w:t xml:space="preserve">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numPr>
          <w:ilvl w:val="0"/>
          <w:numId w:val="269"/>
        </w:num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Сведения об операторе инвестиционной платформы</w:t>
      </w:r>
      <w:r>
        <w:rPr>
          <w:rFonts w:ascii="Times New Roman" w:hAnsi="Times New Roman" w:cs="Times New Roman" w:eastAsia="Times New Roman"/>
          <w:color w:val="auto"/>
          <w:spacing w:val="0"/>
          <w:position w:val="0"/>
          <w:sz w:val="28"/>
          <w:shd w:fill="auto" w:val="clear"/>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Реестр операторов инвестиционных платформ размещен на официальном сайте Банка России по ссылке: </w:t>
      </w:r>
      <w:hyperlink xmlns:r="http://schemas.openxmlformats.org/officeDocument/2006/relationships" r:id="docRId13">
        <w:r>
          <w:rPr>
            <w:rFonts w:ascii="Times New Roman" w:hAnsi="Times New Roman" w:cs="Times New Roman" w:eastAsia="Times New Roman"/>
            <w:color w:val="0000FF"/>
            <w:spacing w:val="0"/>
            <w:position w:val="0"/>
            <w:sz w:val="28"/>
            <w:u w:val="single"/>
            <w:shd w:fill="auto" w:val="clear"/>
          </w:rPr>
          <w:t xml:space="preserve">http://www.cbr.ru/finm_infrastructure/oper/</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Подраздел 3.5. Цифровая валюта</w:t>
      </w:r>
    </w:p>
    <w:p>
      <w:pPr>
        <w:numPr>
          <w:ilvl w:val="0"/>
          <w:numId w:val="27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со статьей 1 Федерального закона от 31 июля 2020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259-</w:t>
      </w:r>
      <w:r>
        <w:rPr>
          <w:rFonts w:ascii="Times New Roman" w:hAnsi="Times New Roman" w:cs="Times New Roman" w:eastAsia="Times New Roman"/>
          <w:color w:val="auto"/>
          <w:spacing w:val="0"/>
          <w:position w:val="0"/>
          <w:sz w:val="28"/>
          <w:shd w:fill="auto" w:val="clear"/>
        </w:rPr>
        <w:t xml:space="preserve">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numPr>
          <w:ilvl w:val="0"/>
          <w:numId w:val="27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numPr>
          <w:ilvl w:val="0"/>
          <w:numId w:val="27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Наименование цифровой валюты</w:t>
      </w:r>
      <w:r>
        <w:rPr>
          <w:rFonts w:ascii="Times New Roman" w:hAnsi="Times New Roman" w:cs="Times New Roman" w:eastAsia="Times New Roman"/>
          <w:color w:val="auto"/>
          <w:spacing w:val="0"/>
          <w:position w:val="0"/>
          <w:sz w:val="28"/>
          <w:shd w:fill="auto" w:val="clear"/>
        </w:rPr>
        <w:t xml:space="preserve">" указывается наименование цифровой валюты в соответствии с применимыми документами (без произвольной транслитерации).</w:t>
      </w:r>
    </w:p>
    <w:p>
      <w:pPr>
        <w:numPr>
          <w:ilvl w:val="0"/>
          <w:numId w:val="27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Дата приобретения</w:t>
      </w:r>
      <w:r>
        <w:rPr>
          <w:rFonts w:ascii="Times New Roman" w:hAnsi="Times New Roman" w:cs="Times New Roman" w:eastAsia="Times New Roman"/>
          <w:color w:val="auto"/>
          <w:spacing w:val="0"/>
          <w:position w:val="0"/>
          <w:sz w:val="28"/>
          <w:shd w:fill="auto" w:val="clear"/>
        </w:rPr>
        <w:t xml:space="preserve">" указывается дата приобретения цифровой валюты.</w:t>
      </w:r>
    </w:p>
    <w:p>
      <w:pPr>
        <w:numPr>
          <w:ilvl w:val="0"/>
          <w:numId w:val="271"/>
        </w:num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Общее количество</w:t>
      </w:r>
      <w:r>
        <w:rPr>
          <w:rFonts w:ascii="Times New Roman" w:hAnsi="Times New Roman" w:cs="Times New Roman" w:eastAsia="Times New Roman"/>
          <w:color w:val="auto"/>
          <w:spacing w:val="0"/>
          <w:position w:val="0"/>
          <w:sz w:val="28"/>
          <w:shd w:fill="auto" w:val="clear"/>
        </w:rPr>
        <w:t xml:space="preserve">" указывается точное количество цифровой валюты, находящейся в собственности (без округления). </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4. СВЕДЕНИЯ О СЧЕТАХ В БАНКАХ И ИНЫХ КРЕДИТНЫХ ОРГАНИЗАЦИЯХ</w:t>
      </w:r>
    </w:p>
    <w:p>
      <w:pPr>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p>
    <w:p>
      <w:pPr>
        <w:numPr>
          <w:ilvl w:val="0"/>
          <w:numId w:val="274"/>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numPr>
          <w:ilvl w:val="0"/>
          <w:numId w:val="274"/>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частности, подлежит указанию информация о следующих открытых счетах (в том числе по счетам, к которым не эмитированы (не выпущены) платежные карты):</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счета с нулевым остатком по состоянию на отчетную дату;</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счета (вклады) в иностранных банках, расположенных за пределами Российской Федерации.</w:t>
      </w:r>
    </w:p>
    <w:p>
      <w:pPr>
        <w:spacing w:before="0" w:after="0" w:line="240"/>
        <w:ind w:right="0" w:left="0" w:firstLine="567"/>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w:t>
      </w:r>
      <w:r>
        <w:rPr>
          <w:rFonts w:ascii="Segoe UI Symbol" w:hAnsi="Segoe UI Symbol" w:cs="Segoe UI Symbol" w:eastAsia="Segoe UI Symbol"/>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79-</w:t>
      </w:r>
      <w:r>
        <w:rPr>
          <w:rFonts w:ascii="Times New Roman" w:hAnsi="Times New Roman" w:cs="Times New Roman" w:eastAsia="Times New Roman"/>
          <w:color w:val="000000"/>
          <w:spacing w:val="0"/>
          <w:position w:val="0"/>
          <w:sz w:val="28"/>
          <w:shd w:fill="FFFFFF" w:val="clear"/>
        </w:rPr>
        <w:t xml:space="preserve">ФЗ;</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счета, открытые для погашения кредита;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вклады (счета) в драгоценных металлах (в том числе указывается вид счета и металл, в котором он открыт);</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счета, открытые гражданам, зарегистрированным в качестве индивидуальных предпринимателей.</w:t>
      </w:r>
      <w:r>
        <w:rPr>
          <w:rFonts w:ascii="Times New Roman" w:hAnsi="Times New Roman" w:cs="Times New Roman" w:eastAsia="Times New Roman"/>
          <w:color w:val="000000"/>
          <w:spacing w:val="0"/>
          <w:position w:val="0"/>
          <w:sz w:val="28"/>
          <w:shd w:fill="auto" w:val="clear"/>
        </w:rPr>
        <w:t xml:space="preserve"> При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номинальный счет;</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счет эскроу.</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xmlns:r="http://schemas.openxmlformats.org/officeDocument/2006/relationships" r:id="docRId14">
        <w:r>
          <w:rPr>
            <w:rFonts w:ascii="Times New Roman" w:hAnsi="Times New Roman" w:cs="Times New Roman" w:eastAsia="Times New Roman"/>
            <w:color w:val="0000FF"/>
            <w:spacing w:val="0"/>
            <w:position w:val="0"/>
            <w:sz w:val="28"/>
            <w:u w:val="single"/>
            <w:shd w:fill="auto" w:val="clear"/>
          </w:rPr>
          <w:t xml:space="preserve">https://www.cbr.ru/hd_base/metall/metall_base_new/</w:t>
        </w:r>
      </w:hyperlink>
      <w:r>
        <w:rPr>
          <w:rFonts w:ascii="Times New Roman" w:hAnsi="Times New Roman" w:cs="Times New Roman" w:eastAsia="Times New Roman"/>
          <w:color w:val="auto"/>
          <w:spacing w:val="0"/>
          <w:position w:val="0"/>
          <w:sz w:val="28"/>
          <w:shd w:fill="auto" w:val="clear"/>
        </w:rPr>
        <w:t xml:space="preserve">.</w:t>
      </w:r>
    </w:p>
    <w:p>
      <w:pPr>
        <w:numPr>
          <w:ilvl w:val="0"/>
          <w:numId w:val="276"/>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учетом целей антикоррупционного законодательства Российской Федерации в данном разделе не указываются следующие счета: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счета, закрытые по состоянию на отчетную дату;</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специальные избирательные счета, открытые в соответствии с Федеральным законом от 12 июня 2002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67-</w:t>
      </w:r>
      <w:r>
        <w:rPr>
          <w:rFonts w:ascii="Times New Roman" w:hAnsi="Times New Roman" w:cs="Times New Roman" w:eastAsia="Times New Roman"/>
          <w:color w:val="auto"/>
          <w:spacing w:val="0"/>
          <w:position w:val="0"/>
          <w:sz w:val="28"/>
          <w:shd w:fill="auto" w:val="clear"/>
        </w:rPr>
        <w:t xml:space="preserve">ФЗ "Об основных гарантиях избирательных прав и права на участие в референдуме граждан 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депозитные счета нотариуса;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счета доверительного управления;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открываемые не на основании гражданско-правового договора счета, счета депо, счета брокера, индивидуальные инвестиционные счета;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182 настоящих Методических рекомендаций.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синтетические счета.</w:t>
      </w:r>
    </w:p>
    <w:p>
      <w:pPr>
        <w:numPr>
          <w:ilvl w:val="0"/>
          <w:numId w:val="278"/>
        </w:numPr>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00" w:val="clear"/>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w:t>
      </w:r>
      <w:r>
        <w:rPr>
          <w:rFonts w:ascii="Segoe UI Symbol" w:hAnsi="Segoe UI Symbol" w:cs="Segoe UI Symbol" w:eastAsia="Segoe UI Symbol"/>
          <w:color w:val="auto"/>
          <w:spacing w:val="0"/>
          <w:position w:val="0"/>
          <w:sz w:val="28"/>
          <w:shd w:fill="FFFF00" w:val="clear"/>
        </w:rPr>
        <w:t xml:space="preserve">№</w:t>
      </w:r>
      <w:r>
        <w:rPr>
          <w:rFonts w:ascii="Times New Roman" w:hAnsi="Times New Roman" w:cs="Times New Roman" w:eastAsia="Times New Roman"/>
          <w:color w:val="auto"/>
          <w:spacing w:val="0"/>
          <w:position w:val="0"/>
          <w:sz w:val="28"/>
          <w:shd w:fill="FFFF00" w:val="clear"/>
        </w:rPr>
        <w:t xml:space="preserve"> 5798-</w:t>
      </w:r>
      <w:r>
        <w:rPr>
          <w:rFonts w:ascii="Times New Roman" w:hAnsi="Times New Roman" w:cs="Times New Roman" w:eastAsia="Times New Roman"/>
          <w:color w:val="auto"/>
          <w:spacing w:val="0"/>
          <w:position w:val="0"/>
          <w:sz w:val="28"/>
          <w:shd w:fill="FFFF00" w:val="clear"/>
        </w:rPr>
        <w:t xml:space="preserve">У. </w:t>
      </w:r>
    </w:p>
    <w:p>
      <w:p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В этой связи рекомендуется заполнять данный раздел справки на основании информации, полученной в рамках Указания Банка России </w:t>
      </w:r>
      <w:r>
        <w:rPr>
          <w:rFonts w:ascii="Segoe UI Symbol" w:hAnsi="Segoe UI Symbol" w:cs="Segoe UI Symbol" w:eastAsia="Segoe UI Symbol"/>
          <w:color w:val="auto"/>
          <w:spacing w:val="0"/>
          <w:position w:val="0"/>
          <w:sz w:val="28"/>
          <w:shd w:fill="FFFF00" w:val="clear"/>
        </w:rPr>
        <w:t xml:space="preserve">№</w:t>
      </w:r>
      <w:r>
        <w:rPr>
          <w:rFonts w:ascii="Times New Roman" w:hAnsi="Times New Roman" w:cs="Times New Roman" w:eastAsia="Times New Roman"/>
          <w:color w:val="auto"/>
          <w:spacing w:val="0"/>
          <w:position w:val="0"/>
          <w:sz w:val="28"/>
          <w:shd w:fill="FFFF00" w:val="clear"/>
        </w:rPr>
        <w:t xml:space="preserve"> 5798-</w:t>
      </w:r>
      <w:r>
        <w:rPr>
          <w:rFonts w:ascii="Times New Roman" w:hAnsi="Times New Roman" w:cs="Times New Roman" w:eastAsia="Times New Roman"/>
          <w:color w:val="auto"/>
          <w:spacing w:val="0"/>
          <w:position w:val="0"/>
          <w:sz w:val="28"/>
          <w:shd w:fill="FFFF00" w:val="clear"/>
        </w:rPr>
        <w:t xml:space="preserve">У, которая является официальной.</w:t>
      </w:r>
    </w:p>
    <w:p>
      <w:pPr>
        <w:numPr>
          <w:ilvl w:val="0"/>
          <w:numId w:val="280"/>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pPr>
        <w:numPr>
          <w:ilvl w:val="0"/>
          <w:numId w:val="280"/>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мая 2014</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153-</w:t>
      </w:r>
      <w:r>
        <w:rPr>
          <w:rFonts w:ascii="Times New Roman" w:hAnsi="Times New Roman" w:cs="Times New Roman" w:eastAsia="Times New Roman"/>
          <w:color w:val="auto"/>
          <w:spacing w:val="0"/>
          <w:position w:val="0"/>
          <w:sz w:val="28"/>
          <w:shd w:fill="auto" w:val="clear"/>
        </w:rPr>
        <w:t xml:space="preserve">И "Об открытии и закрытии банковских счетов, счетов по вкладам (депозитам), депозитных счетов".</w:t>
      </w:r>
    </w:p>
    <w:p>
      <w:pPr>
        <w:numPr>
          <w:ilvl w:val="0"/>
          <w:numId w:val="280"/>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указанной Инструкцией физическим лицам открываются следующие счета: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текущий счет (для совершения операций, не связанных с предпринимательской деятельностью или частной практикой);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pPr>
        <w:numPr>
          <w:ilvl w:val="0"/>
          <w:numId w:val="282"/>
        </w:numPr>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В графе "Дата открытия счета" </w:t>
      </w:r>
      <w:r>
        <w:rPr>
          <w:rFonts w:ascii="Times New Roman" w:hAnsi="Times New Roman" w:cs="Times New Roman" w:eastAsia="Times New Roman"/>
          <w:color w:val="000000"/>
          <w:spacing w:val="0"/>
          <w:position w:val="0"/>
          <w:sz w:val="28"/>
          <w:shd w:fill="FFFFFF" w:val="clear"/>
        </w:rPr>
        <w:t xml:space="preserve">не допускается указание даты выпуска (перевыпуска) платежной карты. </w:t>
      </w:r>
    </w:p>
    <w:p>
      <w:pPr>
        <w:numPr>
          <w:ilvl w:val="0"/>
          <w:numId w:val="282"/>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"Остаток на счете" заполняется по состоянию на отчетную дату. </w:t>
      </w:r>
    </w:p>
    <w:p>
      <w:p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xmlns:r="http://schemas.openxmlformats.org/officeDocument/2006/relationships" r:id="docRId15">
        <w:r>
          <w:rPr>
            <w:rFonts w:ascii="Times New Roman" w:hAnsi="Times New Roman" w:cs="Times New Roman" w:eastAsia="Times New Roman"/>
            <w:color w:val="0000FF"/>
            <w:spacing w:val="0"/>
            <w:position w:val="0"/>
            <w:sz w:val="28"/>
            <w:u w:val="single"/>
            <w:shd w:fill="auto" w:val="clear"/>
          </w:rPr>
          <w:t xml:space="preserve">https://www.cbr.ru/currency_base/</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1283-</w:t>
      </w:r>
      <w:r>
        <w:rPr>
          <w:rFonts w:ascii="Times New Roman" w:hAnsi="Times New Roman" w:cs="Times New Roman" w:eastAsia="Times New Roman"/>
          <w:color w:val="auto"/>
          <w:spacing w:val="0"/>
          <w:position w:val="0"/>
          <w:sz w:val="28"/>
          <w:shd w:fill="auto" w:val="clear"/>
        </w:rPr>
        <w:t xml:space="preserve">У "О порядке установления Банком России учетных цен на аффинированные драгоценные металлы".</w:t>
      </w:r>
    </w:p>
    <w:p>
      <w:pPr>
        <w:numPr>
          <w:ilvl w:val="0"/>
          <w:numId w:val="284"/>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Графа "Сумма поступивших на счет денежных средств" заполняется </w:t>
      </w:r>
      <w:r>
        <w:rPr>
          <w:rFonts w:ascii="Times New Roman" w:hAnsi="Times New Roman" w:cs="Times New Roman" w:eastAsia="Times New Roman"/>
          <w:b/>
          <w:color w:val="auto"/>
          <w:spacing w:val="0"/>
          <w:position w:val="0"/>
          <w:sz w:val="28"/>
          <w:shd w:fill="auto" w:val="clear"/>
        </w:rPr>
        <w:t xml:space="preserve">только</w:t>
      </w:r>
      <w:r>
        <w:rPr>
          <w:rFonts w:ascii="Times New Roman" w:hAnsi="Times New Roman" w:cs="Times New Roman" w:eastAsia="Times New Roman"/>
          <w:color w:val="auto"/>
          <w:spacing w:val="0"/>
          <w:position w:val="0"/>
          <w:sz w:val="28"/>
          <w:shd w:fill="auto" w:val="clear"/>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году указывается общая сумма денежных средств, поступивших на конкретный счет в 2021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году, если эта сумма превышает общий доход служащего (работника) и его супруги (супруга) за 2019, 2020 и 2021</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годы. В этом случае к справке прилагается выписка о движении денежных средств по данному счету за отчетный период.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счету в драгоценных металлах данная графа не заполняется.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напротив соответствующей позиции. В противном случае необходимо заполнить соответствующие графы.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счетов в иностранной валюте сумма указывается в рублях по курсу Банка России на отчетную дату.</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Совместный счет</w:t>
      </w:r>
    </w:p>
    <w:p>
      <w:pPr>
        <w:numPr>
          <w:ilvl w:val="0"/>
          <w:numId w:val="286"/>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spacing w:before="0" w:after="0" w:line="240"/>
        <w:ind w:right="0" w:left="0" w:firstLine="567"/>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данном случае в каждой подаваемой справке представляется идентичная информация о таком счете.</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Кредитные карты, карты с овердрафтом</w:t>
      </w:r>
    </w:p>
    <w:p>
      <w:pPr>
        <w:numPr>
          <w:ilvl w:val="0"/>
          <w:numId w:val="288"/>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Банк (иная кредитная организация) выпускает следующие виды карт (таблица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w:t>
      </w:r>
    </w:p>
    <w:tbl>
      <w:tblPr>
        <w:tblInd w:w="108" w:type="dxa"/>
      </w:tblPr>
      <w:tblGrid>
        <w:gridCol w:w="2127"/>
        <w:gridCol w:w="8221"/>
      </w:tblGrid>
      <w:tr>
        <w:trPr>
          <w:trHeight w:val="1" w:hRule="atLeast"/>
          <w:jc w:val="left"/>
        </w:trPr>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Расчетная (дебетовая)</w:t>
            </w:r>
          </w:p>
        </w:tc>
        <w:tc>
          <w:tcPr>
            <w:tcW w:w="8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Как электронное средство платежа используется для совершения операций ее держателем в пределах расходного лимита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суммы денежных средств клиента, находящихся на его банковском счете, и (или) кредита, предоставляемого кредитной организацией</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эмитентом клиенту при недостаточности или отсутствии на банковском счете денежных средств (овердрафт)</w:t>
            </w:r>
          </w:p>
        </w:tc>
      </w:tr>
      <w:tr>
        <w:trPr>
          <w:trHeight w:val="1" w:hRule="atLeast"/>
          <w:jc w:val="left"/>
        </w:trPr>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Кредитная</w:t>
            </w:r>
          </w:p>
        </w:tc>
        <w:tc>
          <w:tcPr>
            <w:tcW w:w="82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Как электронное средство платежа используется для совершения ее держателем операций за счет </w:t>
              <w:br/>
              <w:t xml:space="preserve">денежных средств, предоставленных кредитной </w:t>
              <w:br/>
              <w:t xml:space="preserve">организацией</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эмитентом клиенту в пределах расходного лимита в соответствии с условиями кредитного договора.</w:t>
            </w:r>
          </w:p>
        </w:tc>
      </w:tr>
    </w:tbl>
    <w:p>
      <w:pPr>
        <w:numPr>
          <w:ilvl w:val="0"/>
          <w:numId w:val="295"/>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Расчетная (дебетовая) и кредитные карты, как правило, предполагают открытие и ведение банком (иной кредитной организацией) счета.</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Кроме того, необходимо обращать внимание, что </w:t>
      </w:r>
      <w:r>
        <w:rPr>
          <w:rFonts w:ascii="Times New Roman" w:hAnsi="Times New Roman" w:cs="Times New Roman" w:eastAsia="Times New Roman"/>
          <w:color w:val="000000"/>
          <w:spacing w:val="0"/>
          <w:position w:val="0"/>
          <w:sz w:val="28"/>
          <w:shd w:fill="auto" w:val="clear"/>
        </w:rPr>
        <w:t xml:space="preserve">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xmlns:r="http://schemas.openxmlformats.org/officeDocument/2006/relationships" r:id="docRId16">
        <w:r>
          <w:rPr>
            <w:rFonts w:ascii="Times New Roman" w:hAnsi="Times New Roman" w:cs="Times New Roman" w:eastAsia="Times New Roman"/>
            <w:color w:val="0000FF"/>
            <w:spacing w:val="0"/>
            <w:position w:val="0"/>
            <w:sz w:val="28"/>
            <w:u w:val="single"/>
            <w:shd w:fill="auto" w:val="clear"/>
          </w:rPr>
          <w:t xml:space="preserve">https://www.nalog.ru/rn77/related_activities/accounting/bank_account/</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FFFF00" w:val="clear"/>
        </w:rPr>
        <w:t xml:space="preserve">Приоритет необходимо отдавать информации, полученной в рамках Указания Банка России </w:t>
      </w:r>
      <w:r>
        <w:rPr>
          <w:rFonts w:ascii="Segoe UI Symbol" w:hAnsi="Segoe UI Symbol" w:cs="Segoe UI Symbol" w:eastAsia="Segoe UI Symbol"/>
          <w:color w:val="000000"/>
          <w:spacing w:val="0"/>
          <w:position w:val="0"/>
          <w:sz w:val="28"/>
          <w:shd w:fill="FFFF00" w:val="clear"/>
        </w:rPr>
        <w:t xml:space="preserve">№</w:t>
      </w:r>
      <w:r>
        <w:rPr>
          <w:rFonts w:ascii="Times New Roman" w:hAnsi="Times New Roman" w:cs="Times New Roman" w:eastAsia="Times New Roman"/>
          <w:color w:val="000000"/>
          <w:spacing w:val="0"/>
          <w:position w:val="0"/>
          <w:sz w:val="28"/>
          <w:shd w:fill="FFFF00" w:val="clear"/>
        </w:rPr>
        <w:t xml:space="preserve"> 5798-</w:t>
      </w:r>
      <w:r>
        <w:rPr>
          <w:rFonts w:ascii="Times New Roman" w:hAnsi="Times New Roman" w:cs="Times New Roman" w:eastAsia="Times New Roman"/>
          <w:color w:val="000000"/>
          <w:spacing w:val="0"/>
          <w:position w:val="0"/>
          <w:sz w:val="28"/>
          <w:shd w:fill="FFFF00" w:val="clear"/>
        </w:rPr>
        <w:t xml:space="preserve">У.</w:t>
      </w:r>
    </w:p>
    <w:p>
      <w:pPr>
        <w:numPr>
          <w:ilvl w:val="0"/>
          <w:numId w:val="297"/>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предоставленный кредит (израсходованный овердрафт) по расчетной (дебетовой) карте равен или превышает 500 000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руб., то возникшее в этой связи обязательство финансового характера необходимо указать в подразделе 6.2 раздела 6 справки.</w:t>
      </w:r>
    </w:p>
    <w:p>
      <w:pPr>
        <w:numPr>
          <w:ilvl w:val="0"/>
          <w:numId w:val="297"/>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расходный лимит кредитной карты равен или превышает 500</w:t>
      </w:r>
      <w:r>
        <w:rPr>
          <w:rFonts w:ascii="Times New Roman" w:hAnsi="Times New Roman" w:cs="Times New Roman" w:eastAsia="Times New Roman"/>
          <w:color w:val="auto"/>
          <w:spacing w:val="0"/>
          <w:position w:val="0"/>
          <w:sz w:val="28"/>
          <w:shd w:fill="auto" w:val="clear"/>
        </w:rPr>
        <w:t xml:space="preserve"> 000 </w:t>
      </w:r>
      <w:r>
        <w:rPr>
          <w:rFonts w:ascii="Times New Roman" w:hAnsi="Times New Roman" w:cs="Times New Roman" w:eastAsia="Times New Roman"/>
          <w:color w:val="auto"/>
          <w:spacing w:val="0"/>
          <w:position w:val="0"/>
          <w:sz w:val="28"/>
          <w:shd w:fill="auto" w:val="clear"/>
        </w:rPr>
        <w:t xml:space="preserve">руб., то возникшее в этой связи обязательство финансового характера, равное или превышающее 500</w:t>
      </w:r>
      <w:r>
        <w:rPr>
          <w:rFonts w:ascii="Times New Roman" w:hAnsi="Times New Roman" w:cs="Times New Roman" w:eastAsia="Times New Roman"/>
          <w:color w:val="auto"/>
          <w:spacing w:val="0"/>
          <w:position w:val="0"/>
          <w:sz w:val="28"/>
          <w:shd w:fill="auto" w:val="clear"/>
        </w:rPr>
        <w:t xml:space="preserve"> 000 </w:t>
      </w:r>
      <w:r>
        <w:rPr>
          <w:rFonts w:ascii="Times New Roman" w:hAnsi="Times New Roman" w:cs="Times New Roman" w:eastAsia="Times New Roman"/>
          <w:color w:val="auto"/>
          <w:spacing w:val="0"/>
          <w:position w:val="0"/>
          <w:sz w:val="28"/>
          <w:shd w:fill="auto" w:val="clear"/>
        </w:rPr>
        <w:t xml:space="preserve">руб., необходимо указать в подразделе 6.2 раздела 6 справки.</w:t>
      </w:r>
    </w:p>
    <w:p>
      <w:pPr>
        <w:numPr>
          <w:ilvl w:val="0"/>
          <w:numId w:val="297"/>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numPr>
          <w:ilvl w:val="0"/>
          <w:numId w:val="297"/>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numPr>
          <w:ilvl w:val="0"/>
          <w:numId w:val="297"/>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данном разделе </w:t>
      </w:r>
      <w:r>
        <w:rPr>
          <w:rFonts w:ascii="Times New Roman" w:hAnsi="Times New Roman" w:cs="Times New Roman" w:eastAsia="Times New Roman"/>
          <w:b/>
          <w:color w:val="auto"/>
          <w:spacing w:val="0"/>
          <w:position w:val="0"/>
          <w:sz w:val="28"/>
          <w:shd w:fill="auto" w:val="clear"/>
        </w:rPr>
        <w:t xml:space="preserve">не указываются счета</w:t>
      </w:r>
      <w:r>
        <w:rPr>
          <w:rFonts w:ascii="Times New Roman" w:hAnsi="Times New Roman" w:cs="Times New Roman" w:eastAsia="Times New Roman"/>
          <w:color w:val="auto"/>
          <w:spacing w:val="0"/>
          <w:position w:val="0"/>
          <w:sz w:val="28"/>
          <w:shd w:fill="auto" w:val="clear"/>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апреля 2008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56-</w:t>
      </w:r>
      <w:r>
        <w:rPr>
          <w:rFonts w:ascii="Times New Roman" w:hAnsi="Times New Roman" w:cs="Times New Roman" w:eastAsia="Times New Roman"/>
          <w:color w:val="auto"/>
          <w:spacing w:val="0"/>
          <w:position w:val="0"/>
          <w:sz w:val="28"/>
          <w:shd w:fill="auto" w:val="clear"/>
        </w:rPr>
        <w:t xml:space="preserve">ФЗ "О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"Qiwi кошелек" и др.).</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Отзыв лицензии у кредитной организации </w:t>
      </w:r>
    </w:p>
    <w:p>
      <w:pPr>
        <w:numPr>
          <w:ilvl w:val="0"/>
          <w:numId w:val="299"/>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pPr>
        <w:numPr>
          <w:ilvl w:val="0"/>
          <w:numId w:val="299"/>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pPr>
        <w:numPr>
          <w:ilvl w:val="0"/>
          <w:numId w:val="299"/>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 момента закрытия соответствующего счета, счет считается открытым и подлежит отражению в разделе 4 справки.</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Ликвидация кредитной организации</w:t>
      </w:r>
    </w:p>
    <w:p>
      <w:pPr>
        <w:numPr>
          <w:ilvl w:val="0"/>
          <w:numId w:val="30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pPr>
        <w:numPr>
          <w:ilvl w:val="0"/>
          <w:numId w:val="30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xmlns:r="http://schemas.openxmlformats.org/officeDocument/2006/relationships" r:id="docRId17">
        <w:r>
          <w:rPr>
            <w:rFonts w:ascii="Times New Roman" w:hAnsi="Times New Roman" w:cs="Times New Roman" w:eastAsia="Times New Roman"/>
            <w:color w:val="0000FF"/>
            <w:spacing w:val="0"/>
            <w:position w:val="0"/>
            <w:sz w:val="28"/>
            <w:u w:val="single"/>
            <w:shd w:fill="auto" w:val="clear"/>
          </w:rPr>
          <w:t xml:space="preserve">https://www.cbr.ru/banking_sector/likvidbase/</w:t>
        </w:r>
      </w:hyperlink>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851"/>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851"/>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5. СВЕДЕНИЯ О ЦЕННЫХ БУМАГАХ</w:t>
      </w:r>
    </w:p>
    <w:p>
      <w:pPr>
        <w:spacing w:before="0" w:after="0" w:line="240"/>
        <w:ind w:right="0" w:left="0" w:firstLine="851"/>
        <w:jc w:val="center"/>
        <w:rPr>
          <w:rFonts w:ascii="Times New Roman" w:hAnsi="Times New Roman" w:cs="Times New Roman" w:eastAsia="Times New Roman"/>
          <w:color w:val="auto"/>
          <w:spacing w:val="0"/>
          <w:position w:val="0"/>
          <w:sz w:val="28"/>
          <w:shd w:fill="auto" w:val="clear"/>
        </w:rPr>
      </w:pPr>
    </w:p>
    <w:p>
      <w:pPr>
        <w:numPr>
          <w:ilvl w:val="0"/>
          <w:numId w:val="304"/>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w:t>
      </w: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справки (строка 5 "Доход от ценных бумаг и долей участия в коммерческих организациях").</w:t>
      </w:r>
    </w:p>
    <w:p>
      <w:p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Государственный сертификат на материнский (семейный) капитал не является ценной бумагой и не подлежит указанию в разделе 5 справки.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p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Отдельная информация, необходимая для заполнения раздела 5 справки, может быть получена в рамках Указания Банка России </w:t>
      </w:r>
      <w:r>
        <w:rPr>
          <w:rFonts w:ascii="Segoe UI Symbol" w:hAnsi="Segoe UI Symbol" w:cs="Segoe UI Symbol" w:eastAsia="Segoe UI Symbol"/>
          <w:color w:val="auto"/>
          <w:spacing w:val="0"/>
          <w:position w:val="0"/>
          <w:sz w:val="28"/>
          <w:shd w:fill="FFFF00" w:val="clear"/>
        </w:rPr>
        <w:t xml:space="preserve">№</w:t>
      </w:r>
      <w:r>
        <w:rPr>
          <w:rFonts w:ascii="Times New Roman" w:hAnsi="Times New Roman" w:cs="Times New Roman" w:eastAsia="Times New Roman"/>
          <w:color w:val="auto"/>
          <w:spacing w:val="0"/>
          <w:position w:val="0"/>
          <w:sz w:val="28"/>
          <w:shd w:fill="FFFF00" w:val="clear"/>
        </w:rPr>
        <w:t xml:space="preserve"> 5798-</w:t>
      </w:r>
      <w:r>
        <w:rPr>
          <w:rFonts w:ascii="Times New Roman" w:hAnsi="Times New Roman" w:cs="Times New Roman" w:eastAsia="Times New Roman"/>
          <w:color w:val="auto"/>
          <w:spacing w:val="0"/>
          <w:position w:val="0"/>
          <w:sz w:val="28"/>
          <w:shd w:fill="FFFF00" w:val="clear"/>
        </w:rPr>
        <w:t xml:space="preserve">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Также при отсутствии информации в отношении отдельных граф организация в соответствии с Указанием Банка России </w:t>
      </w:r>
      <w:r>
        <w:rPr>
          <w:rFonts w:ascii="Segoe UI Symbol" w:hAnsi="Segoe UI Symbol" w:cs="Segoe UI Symbol" w:eastAsia="Segoe UI Symbol"/>
          <w:color w:val="auto"/>
          <w:spacing w:val="0"/>
          <w:position w:val="0"/>
          <w:sz w:val="28"/>
          <w:shd w:fill="FFFF00" w:val="clear"/>
        </w:rPr>
        <w:t xml:space="preserve">№</w:t>
      </w:r>
      <w:r>
        <w:rPr>
          <w:rFonts w:ascii="Times New Roman" w:hAnsi="Times New Roman" w:cs="Times New Roman" w:eastAsia="Times New Roman"/>
          <w:color w:val="auto"/>
          <w:spacing w:val="0"/>
          <w:position w:val="0"/>
          <w:sz w:val="28"/>
          <w:shd w:fill="FFFF00" w:val="clear"/>
        </w:rPr>
        <w:t xml:space="preserve"> 5798-</w:t>
      </w:r>
      <w:r>
        <w:rPr>
          <w:rFonts w:ascii="Times New Roman" w:hAnsi="Times New Roman" w:cs="Times New Roman" w:eastAsia="Times New Roman"/>
          <w:color w:val="auto"/>
          <w:spacing w:val="0"/>
          <w:position w:val="0"/>
          <w:sz w:val="28"/>
          <w:shd w:fill="FFFF00" w:val="clear"/>
        </w:rPr>
        <w:t xml:space="preserve">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Подраздел 5.1. Акции и иное участие в коммерческих организациях и фондах </w:t>
      </w:r>
    </w:p>
    <w:p>
      <w:pPr>
        <w:numPr>
          <w:ilvl w:val="0"/>
          <w:numId w:val="306"/>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Федеральным законом от 22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апреля 1996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br/>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39-</w:t>
      </w:r>
      <w:r>
        <w:rPr>
          <w:rFonts w:ascii="Times New Roman" w:hAnsi="Times New Roman" w:cs="Times New Roman" w:eastAsia="Times New Roman"/>
          <w:color w:val="auto"/>
          <w:spacing w:val="0"/>
          <w:position w:val="0"/>
          <w:sz w:val="28"/>
          <w:shd w:fill="auto" w:val="clear"/>
        </w:rPr>
        <w:t xml:space="preserve">ФЗ "О рынке ценных бумаг" акция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pPr>
        <w:numPr>
          <w:ilvl w:val="0"/>
          <w:numId w:val="306"/>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"Наименование и организационно-правовая форма организации</w:t>
      </w:r>
      <w:r>
        <w:rPr>
          <w:rFonts w:ascii="Times New Roman" w:hAnsi="Times New Roman" w:cs="Times New Roman" w:eastAsia="Times New Roman"/>
          <w:color w:val="auto"/>
          <w:spacing w:val="0"/>
          <w:position w:val="0"/>
          <w:sz w:val="28"/>
          <w:shd w:fill="auto" w:val="clear"/>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tabs>
          <w:tab w:val="left" w:pos="426"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w:t>
      </w:r>
      <w:r>
        <w:rPr>
          <w:rFonts w:ascii="Times New Roman" w:hAnsi="Times New Roman" w:cs="Times New Roman" w:eastAsia="Times New Roman"/>
          <w:color w:val="auto"/>
          <w:spacing w:val="0"/>
          <w:position w:val="0"/>
          <w:sz w:val="28"/>
          <w:shd w:fill="FFFF00" w:val="clear"/>
        </w:rPr>
        <w:t xml:space="preserve">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r>
        <w:rPr>
          <w:rFonts w:ascii="Times New Roman" w:hAnsi="Times New Roman" w:cs="Times New Roman" w:eastAsia="Times New Roman"/>
          <w:color w:val="auto"/>
          <w:spacing w:val="0"/>
          <w:position w:val="0"/>
          <w:sz w:val="28"/>
          <w:shd w:fill="auto" w:val="clear"/>
        </w:rPr>
        <w:t xml:space="preserve"> </w:t>
      </w:r>
    </w:p>
    <w:p>
      <w:pPr>
        <w:numPr>
          <w:ilvl w:val="0"/>
          <w:numId w:val="308"/>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Место нахождения</w:t>
      </w:r>
      <w:r>
        <w:rPr>
          <w:rFonts w:ascii="Times New Roman" w:hAnsi="Times New Roman" w:cs="Times New Roman" w:eastAsia="Times New Roman"/>
          <w:color w:val="auto"/>
          <w:spacing w:val="0"/>
          <w:position w:val="0"/>
          <w:sz w:val="28"/>
          <w:shd w:fill="auto" w:val="clear"/>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pPr>
        <w:numPr>
          <w:ilvl w:val="0"/>
          <w:numId w:val="308"/>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Уставный капитал</w:t>
      </w:r>
      <w:r>
        <w:rPr>
          <w:rFonts w:ascii="Times New Roman" w:hAnsi="Times New Roman" w:cs="Times New Roman" w:eastAsia="Times New Roman"/>
          <w:color w:val="auto"/>
          <w:spacing w:val="0"/>
          <w:position w:val="0"/>
          <w:sz w:val="28"/>
          <w:shd w:fill="auto" w:val="clear"/>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xmlns:r="http://schemas.openxmlformats.org/officeDocument/2006/relationships" r:id="docRId18">
        <w:r>
          <w:rPr>
            <w:rFonts w:ascii="Times New Roman" w:hAnsi="Times New Roman" w:cs="Times New Roman" w:eastAsia="Times New Roman"/>
            <w:color w:val="0000FF"/>
            <w:spacing w:val="0"/>
            <w:position w:val="0"/>
            <w:sz w:val="28"/>
            <w:u w:val="single"/>
            <w:shd w:fill="auto" w:val="clear"/>
          </w:rPr>
          <w:t xml:space="preserve">https://www.cbr.ru/currency_base/daily/</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законодательством не предусмотрено формирование уставного капитала, то указывается "0 руб.".</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pPr>
        <w:numPr>
          <w:ilvl w:val="0"/>
          <w:numId w:val="310"/>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Доля участия </w:t>
      </w:r>
      <w:r>
        <w:rPr>
          <w:rFonts w:ascii="Times New Roman" w:hAnsi="Times New Roman" w:cs="Times New Roman" w:eastAsia="Times New Roman"/>
          <w:color w:val="auto"/>
          <w:spacing w:val="0"/>
          <w:position w:val="0"/>
          <w:sz w:val="28"/>
          <w:shd w:fill="auto" w:val="clear"/>
        </w:rPr>
        <w:t xml:space="preserve">выражается в процентах от уставного капитала. Для акционерных обществ указываются также номинальная стоимость и количество акций.</w:t>
      </w:r>
    </w:p>
    <w:p>
      <w:pPr>
        <w:numPr>
          <w:ilvl w:val="0"/>
          <w:numId w:val="310"/>
        </w:num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обязательств, выраженных в иностранной валюте, стоимость указывается в рублях по курсу Банка России на отчетную дату.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pPr>
        <w:numPr>
          <w:ilvl w:val="0"/>
          <w:numId w:val="312"/>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Основание участия</w:t>
      </w:r>
      <w:r>
        <w:rPr>
          <w:rFonts w:ascii="Times New Roman" w:hAnsi="Times New Roman" w:cs="Times New Roman" w:eastAsia="Times New Roman"/>
          <w:color w:val="auto"/>
          <w:spacing w:val="0"/>
          <w:position w:val="0"/>
          <w:sz w:val="28"/>
          <w:shd w:fill="auto" w:val="clear"/>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дата приобретения.</w:t>
      </w:r>
    </w:p>
    <w:p>
      <w:pPr>
        <w:spacing w:before="0" w:after="0" w:line="240"/>
        <w:ind w:right="0" w:left="567"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Подраздел 5.2. Иные ценные бумаги</w:t>
      </w:r>
    </w:p>
    <w:p>
      <w:pPr>
        <w:numPr>
          <w:ilvl w:val="0"/>
          <w:numId w:val="315"/>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cs="Times New Roman" w:eastAsia="Times New Roman"/>
          <w:color w:val="auto"/>
          <w:spacing w:val="0"/>
          <w:position w:val="0"/>
          <w:sz w:val="28"/>
          <w:shd w:fill="auto" w:val="clear"/>
        </w:rPr>
        <w:t xml:space="preserve"> 5.1 </w:t>
      </w:r>
      <w:r>
        <w:rPr>
          <w:rFonts w:ascii="Times New Roman" w:hAnsi="Times New Roman" w:cs="Times New Roman" w:eastAsia="Times New Roman"/>
          <w:color w:val="auto"/>
          <w:spacing w:val="0"/>
          <w:position w:val="0"/>
          <w:sz w:val="28"/>
          <w:shd w:fill="auto" w:val="clear"/>
        </w:rPr>
        <w:t xml:space="preserve">раздела 5 справки.</w:t>
      </w:r>
    </w:p>
    <w:p>
      <w:pPr>
        <w:numPr>
          <w:ilvl w:val="0"/>
          <w:numId w:val="315"/>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Номинальная величина обязательства</w:t>
      </w:r>
      <w:r>
        <w:rPr>
          <w:rFonts w:ascii="Times New Roman" w:hAnsi="Times New Roman" w:cs="Times New Roman" w:eastAsia="Times New Roman"/>
          <w:color w:val="auto"/>
          <w:spacing w:val="0"/>
          <w:position w:val="0"/>
          <w:sz w:val="28"/>
          <w:shd w:fill="auto" w:val="clear"/>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numPr>
          <w:ilvl w:val="0"/>
          <w:numId w:val="317"/>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Общая стоимость</w:t>
      </w:r>
      <w:r>
        <w:rPr>
          <w:rFonts w:ascii="Times New Roman" w:hAnsi="Times New Roman" w:cs="Times New Roman" w:eastAsia="Times New Roman"/>
          <w:color w:val="auto"/>
          <w:spacing w:val="0"/>
          <w:position w:val="0"/>
          <w:sz w:val="28"/>
          <w:shd w:fill="auto" w:val="clear"/>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xmlns:r="http://schemas.openxmlformats.org/officeDocument/2006/relationships" r:id="docRId19">
        <w:r>
          <w:rPr>
            <w:rFonts w:ascii="Times New Roman" w:hAnsi="Times New Roman" w:cs="Times New Roman" w:eastAsia="Times New Roman"/>
            <w:color w:val="0000FF"/>
            <w:spacing w:val="0"/>
            <w:position w:val="0"/>
            <w:sz w:val="28"/>
            <w:u w:val="single"/>
            <w:shd w:fill="auto" w:val="clear"/>
          </w:rPr>
          <w:t xml:space="preserve">https://www.cbr.ru/currency_base/daily/</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6. СВЕДЕНИЯ ОБ ОБЯЗАТЕЛЬСТВАХ ИМУЩЕСТВЕННОГО ХАРАКТЕРА</w:t>
      </w:r>
    </w:p>
    <w:p>
      <w:pPr>
        <w:spacing w:before="0" w:after="0" w:line="240"/>
        <w:ind w:right="0" w:left="0" w:firstLine="851"/>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Подраздел 6.1. Объекты недвижимого имущества, находящиеся в пользовании</w:t>
      </w:r>
    </w:p>
    <w:p>
      <w:pPr>
        <w:numPr>
          <w:ilvl w:val="0"/>
          <w:numId w:val="322"/>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numPr>
          <w:ilvl w:val="0"/>
          <w:numId w:val="324"/>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 </w:t>
      </w:r>
    </w:p>
    <w:p>
      <w:pPr>
        <w:numPr>
          <w:ilvl w:val="0"/>
          <w:numId w:val="326"/>
        </w:numPr>
        <w:spacing w:before="0" w:after="0" w:line="240"/>
        <w:ind w:right="0" w:left="142"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отсутствует фактическое пользование этим объектом супругом; </w:t>
      </w:r>
    </w:p>
    <w:p>
      <w:pPr>
        <w:numPr>
          <w:ilvl w:val="0"/>
          <w:numId w:val="326"/>
        </w:numPr>
        <w:spacing w:before="0" w:after="0" w:line="240"/>
        <w:ind w:right="0" w:left="142" w:firstLine="425"/>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эти объекты указаны в подразделе 3.1 раздела 3 справки соответствующей справки </w:t>
      </w:r>
    </w:p>
    <w:p>
      <w:pPr>
        <w:spacing w:before="0" w:after="0" w:line="240"/>
        <w:ind w:right="0" w:left="567"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Аналогично в отношении несовершеннолетних детей.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pPr>
        <w:numPr>
          <w:ilvl w:val="0"/>
          <w:numId w:val="329"/>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numPr>
          <w:ilvl w:val="0"/>
          <w:numId w:val="329"/>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том числе указанию подлежат сведения о жилом помещении (дом, квартира, комната), нежилом помещении, земельном участке, гараже и т.д.:</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где служащий (работник), члены его семьи фактически проживают без заключения договора аренды, безвозмездного пользования или социального найма;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занимаемых по договору аренды (найма, поднайма);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занимаемых по договорам социального найма;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принадлежащих на праве пожизненного наследуемого владения земельным участком;</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переданных объектах по договору или иному акту, но не зарегистрированных в установленном законодательством Российской Федерации порядке.</w:t>
      </w:r>
    </w:p>
    <w:p>
      <w:pPr>
        <w:numPr>
          <w:ilvl w:val="0"/>
          <w:numId w:val="33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указывается общая площадь объекта недвижимого имущества, находящегося в пользовании.</w:t>
      </w:r>
    </w:p>
    <w:p>
      <w:pPr>
        <w:numPr>
          <w:ilvl w:val="0"/>
          <w:numId w:val="33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об объектах недвижимого имущества, находящихся в пользовании, указываются по состоянию на отчетную дату.</w:t>
      </w:r>
    </w:p>
    <w:p>
      <w:pPr>
        <w:numPr>
          <w:ilvl w:val="0"/>
          <w:numId w:val="33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"Вид имущества</w:t>
      </w:r>
      <w:r>
        <w:rPr>
          <w:rFonts w:ascii="Times New Roman" w:hAnsi="Times New Roman" w:cs="Times New Roman" w:eastAsia="Times New Roman"/>
          <w:color w:val="auto"/>
          <w:spacing w:val="0"/>
          <w:position w:val="0"/>
          <w:sz w:val="28"/>
          <w:shd w:fill="auto" w:val="clear"/>
        </w:rPr>
        <w:t xml:space="preserve">" указывается вид недвижимого имущества (земельный участок, жилой дом, дача, квартира, комната и др.).</w:t>
      </w:r>
    </w:p>
    <w:p>
      <w:pPr>
        <w:numPr>
          <w:ilvl w:val="0"/>
          <w:numId w:val="33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Вид и сроки пользования</w:t>
      </w:r>
      <w:r>
        <w:rPr>
          <w:rFonts w:ascii="Times New Roman" w:hAnsi="Times New Roman" w:cs="Times New Roman" w:eastAsia="Times New Roman"/>
          <w:color w:val="auto"/>
          <w:spacing w:val="0"/>
          <w:position w:val="0"/>
          <w:sz w:val="28"/>
          <w:shd w:fill="auto" w:val="clear"/>
        </w:rPr>
        <w:t xml:space="preserve">" указываются вид пользования (аренда, безвозмездное пользование и др.) и сроки пользования.</w:t>
      </w:r>
    </w:p>
    <w:p>
      <w:pPr>
        <w:numPr>
          <w:ilvl w:val="0"/>
          <w:numId w:val="33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Основание пользования</w:t>
      </w:r>
      <w:r>
        <w:rPr>
          <w:rFonts w:ascii="Times New Roman" w:hAnsi="Times New Roman" w:cs="Times New Roman" w:eastAsia="Times New Roman"/>
          <w:color w:val="auto"/>
          <w:spacing w:val="0"/>
          <w:position w:val="0"/>
          <w:sz w:val="28"/>
          <w:shd w:fill="auto" w:val="clear"/>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numPr>
          <w:ilvl w:val="0"/>
          <w:numId w:val="33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данном подразделе </w:t>
      </w:r>
      <w:r>
        <w:rPr>
          <w:rFonts w:ascii="Times New Roman" w:hAnsi="Times New Roman" w:cs="Times New Roman" w:eastAsia="Times New Roman"/>
          <w:b/>
          <w:color w:val="auto"/>
          <w:spacing w:val="0"/>
          <w:position w:val="0"/>
          <w:sz w:val="28"/>
          <w:shd w:fill="auto" w:val="clear"/>
        </w:rPr>
        <w:t xml:space="preserve">не указывается</w:t>
      </w:r>
      <w:r>
        <w:rPr>
          <w:rFonts w:ascii="Times New Roman" w:hAnsi="Times New Roman" w:cs="Times New Roman" w:eastAsia="Times New Roman"/>
          <w:color w:val="auto"/>
          <w:spacing w:val="0"/>
          <w:position w:val="0"/>
          <w:sz w:val="28"/>
          <w:shd w:fill="auto" w:val="clear"/>
        </w:rPr>
        <w:t xml:space="preserve"> недвижимое имущество, которое находится в собственности и уже отражено в подразделе 3.1раздела 3 справки.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numPr>
          <w:ilvl w:val="0"/>
          <w:numId w:val="333"/>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w:t>
      </w:r>
      <w:r>
        <w:rPr>
          <w:rFonts w:ascii="Times New Roman" w:hAnsi="Times New Roman" w:cs="Times New Roman" w:eastAsia="Times New Roman"/>
          <w:color w:val="auto"/>
          <w:spacing w:val="0"/>
          <w:position w:val="0"/>
          <w:sz w:val="28"/>
          <w:shd w:fill="auto" w:val="clear"/>
        </w:rPr>
        <w:t xml:space="preserve"> 6.1. </w:t>
      </w:r>
      <w:r>
        <w:rPr>
          <w:rFonts w:ascii="Times New Roman" w:hAnsi="Times New Roman" w:cs="Times New Roman" w:eastAsia="Times New Roman"/>
          <w:color w:val="auto"/>
          <w:spacing w:val="0"/>
          <w:position w:val="0"/>
          <w:sz w:val="28"/>
          <w:shd w:fill="auto" w:val="clear"/>
        </w:rPr>
        <w:t xml:space="preserve">раздела 6 справки не вносятся.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данные доли собственности должны быть отражены в подразделе 3.1. раздела 3 справок служащего (работника) и его супруги (супруга).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Аналогично в отношении несовершеннолетних детей.</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Подраздел 6.2. Срочные обязательства финансового характера</w:t>
      </w:r>
    </w:p>
    <w:p>
      <w:pPr>
        <w:numPr>
          <w:ilvl w:val="0"/>
          <w:numId w:val="336"/>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данном подразделе указывается </w:t>
      </w:r>
      <w:r>
        <w:rPr>
          <w:rFonts w:ascii="Times New Roman" w:hAnsi="Times New Roman" w:cs="Times New Roman" w:eastAsia="Times New Roman"/>
          <w:b/>
          <w:color w:val="auto"/>
          <w:spacing w:val="0"/>
          <w:position w:val="0"/>
          <w:sz w:val="28"/>
          <w:shd w:fill="auto" w:val="clear"/>
        </w:rPr>
        <w:t xml:space="preserve">каждое</w:t>
      </w:r>
      <w:r>
        <w:rPr>
          <w:rFonts w:ascii="Times New Roman" w:hAnsi="Times New Roman" w:cs="Times New Roman" w:eastAsia="Times New Roman"/>
          <w:color w:val="auto"/>
          <w:spacing w:val="0"/>
          <w:position w:val="0"/>
          <w:sz w:val="28"/>
          <w:shd w:fill="auto" w:val="clear"/>
        </w:rPr>
        <w:t xml:space="preserve"> имеющееся на отчетную дату срочное обязательство финансового характера на сумму, </w:t>
      </w:r>
      <w:r>
        <w:rPr>
          <w:rFonts w:ascii="Times New Roman" w:hAnsi="Times New Roman" w:cs="Times New Roman" w:eastAsia="Times New Roman"/>
          <w:b/>
          <w:color w:val="auto"/>
          <w:spacing w:val="0"/>
          <w:position w:val="0"/>
          <w:sz w:val="28"/>
          <w:shd w:fill="auto" w:val="clear"/>
        </w:rPr>
        <w:t xml:space="preserve">равную или превышающую</w:t>
      </w:r>
      <w:r>
        <w:rPr>
          <w:rFonts w:ascii="Times New Roman" w:hAnsi="Times New Roman" w:cs="Times New Roman" w:eastAsia="Times New Roman"/>
          <w:color w:val="auto"/>
          <w:spacing w:val="0"/>
          <w:position w:val="0"/>
          <w:sz w:val="28"/>
          <w:shd w:fill="auto" w:val="clear"/>
        </w:rPr>
        <w:t xml:space="preserve"> 500 000 руб., кредитором или должником по которому является служащий (работник), его супруга (супруг), несовершеннолетний ребенок.</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Данный подраздел также подлежит заполнению в случае, если лицо, в отношении которого представляются сведения, является созаемщиком.</w:t>
      </w:r>
    </w:p>
    <w:p>
      <w:pPr>
        <w:numPr>
          <w:ilvl w:val="0"/>
          <w:numId w:val="338"/>
        </w:num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Содержание обязательства</w:t>
      </w:r>
      <w:r>
        <w:rPr>
          <w:rFonts w:ascii="Times New Roman" w:hAnsi="Times New Roman" w:cs="Times New Roman" w:eastAsia="Times New Roman"/>
          <w:color w:val="auto"/>
          <w:spacing w:val="0"/>
          <w:position w:val="0"/>
          <w:sz w:val="28"/>
          <w:shd w:fill="auto" w:val="clear"/>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numPr>
          <w:ilvl w:val="0"/>
          <w:numId w:val="338"/>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Кредитор (должник)</w:t>
      </w:r>
      <w:r>
        <w:rPr>
          <w:rFonts w:ascii="Times New Roman" w:hAnsi="Times New Roman" w:cs="Times New Roman" w:eastAsia="Times New Roman"/>
          <w:color w:val="auto"/>
          <w:spacing w:val="0"/>
          <w:position w:val="0"/>
          <w:sz w:val="28"/>
          <w:shd w:fill="auto" w:val="clear"/>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Например,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Москва, Ленинский пр-т, д.</w:t>
      </w:r>
      <w:r>
        <w:rPr>
          <w:rFonts w:ascii="Times New Roman" w:hAnsi="Times New Roman" w:cs="Times New Roman" w:eastAsia="Times New Roman"/>
          <w:color w:val="auto"/>
          <w:spacing w:val="0"/>
          <w:position w:val="0"/>
          <w:sz w:val="28"/>
          <w:shd w:fill="auto" w:val="clear"/>
        </w:rPr>
        <w:t xml:space="preserve"> 8, </w:t>
      </w:r>
      <w:r>
        <w:rPr>
          <w:rFonts w:ascii="Times New Roman" w:hAnsi="Times New Roman" w:cs="Times New Roman" w:eastAsia="Times New Roman"/>
          <w:color w:val="auto"/>
          <w:spacing w:val="0"/>
          <w:position w:val="0"/>
          <w:sz w:val="28"/>
          <w:shd w:fill="auto" w:val="clear"/>
        </w:rPr>
        <w:t xml:space="preserve">кв.</w:t>
      </w:r>
      <w:r>
        <w:rPr>
          <w:rFonts w:ascii="Times New Roman" w:hAnsi="Times New Roman" w:cs="Times New Roman" w:eastAsia="Times New Roman"/>
          <w:color w:val="auto"/>
          <w:spacing w:val="0"/>
          <w:position w:val="0"/>
          <w:sz w:val="28"/>
          <w:shd w:fill="auto" w:val="clear"/>
        </w:rPr>
        <w:t xml:space="preserve"> 1. </w:t>
      </w:r>
      <w:r>
        <w:rPr>
          <w:rFonts w:ascii="Times New Roman" w:hAnsi="Times New Roman" w:cs="Times New Roman" w:eastAsia="Times New Roman"/>
          <w:color w:val="auto"/>
          <w:spacing w:val="0"/>
          <w:position w:val="0"/>
          <w:sz w:val="28"/>
          <w:shd w:fill="auto" w:val="clear"/>
        </w:rPr>
        <w:t xml:space="preserve">Основанием возникновения обязательства в этом случае является договор займа с указанием даты подписания. </w:t>
      </w:r>
    </w:p>
    <w:p>
      <w:pPr>
        <w:numPr>
          <w:ilvl w:val="0"/>
          <w:numId w:val="34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Основание возникновения</w:t>
      </w:r>
      <w:r>
        <w:rPr>
          <w:rFonts w:ascii="Times New Roman" w:hAnsi="Times New Roman" w:cs="Times New Roman" w:eastAsia="Times New Roman"/>
          <w:color w:val="auto"/>
          <w:spacing w:val="0"/>
          <w:position w:val="0"/>
          <w:sz w:val="28"/>
          <w:shd w:fill="auto" w:val="clear"/>
        </w:rPr>
        <w:t xml:space="preserve">" указываются основание возникновения обязательства, а также реквизиты (дата, номер) соответствующего договора или акта.</w:t>
      </w:r>
    </w:p>
    <w:p>
      <w:pPr>
        <w:numPr>
          <w:ilvl w:val="0"/>
          <w:numId w:val="341"/>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Сумма обязательства / размер обязательства по состоянию на отчетную дату</w:t>
      </w:r>
      <w:r>
        <w:rPr>
          <w:rFonts w:ascii="Times New Roman" w:hAnsi="Times New Roman" w:cs="Times New Roman" w:eastAsia="Times New Roman"/>
          <w:color w:val="auto"/>
          <w:spacing w:val="0"/>
          <w:position w:val="0"/>
          <w:sz w:val="28"/>
          <w:shd w:fill="auto" w:val="clear"/>
        </w:rPr>
        <w:t xml:space="preserve">" указываются: </w:t>
      </w:r>
    </w:p>
    <w:p>
      <w:p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обязательств, выраженных в иностранной валюте, сумма указывается в рублях по курсу Банка России на отчетную дату.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xmlns:r="http://schemas.openxmlformats.org/officeDocument/2006/relationships" r:id="docRId20">
        <w:r>
          <w:rPr>
            <w:rFonts w:ascii="Times New Roman" w:hAnsi="Times New Roman" w:cs="Times New Roman" w:eastAsia="Times New Roman"/>
            <w:color w:val="0000FF"/>
            <w:spacing w:val="0"/>
            <w:position w:val="0"/>
            <w:sz w:val="28"/>
            <w:u w:val="single"/>
            <w:shd w:fill="auto" w:val="clear"/>
          </w:rPr>
          <w:t xml:space="preserve">https://www.cbr.ru/currency_base/daily/</w:t>
        </w:r>
      </w:hyperlink>
      <w:r>
        <w:rPr>
          <w:rFonts w:ascii="Times New Roman" w:hAnsi="Times New Roman" w:cs="Times New Roman" w:eastAsia="Times New Roman"/>
          <w:color w:val="auto"/>
          <w:spacing w:val="0"/>
          <w:position w:val="0"/>
          <w:sz w:val="28"/>
          <w:shd w:fill="auto" w:val="clear"/>
        </w:rPr>
        <w:t xml:space="preserve">.</w:t>
      </w:r>
    </w:p>
    <w:p>
      <w:pPr>
        <w:numPr>
          <w:ilvl w:val="0"/>
          <w:numId w:val="343"/>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если на отчетную дату размер обязательства (оставшийся непогашенным долг с суммой процентов) составил менее 500</w:t>
      </w:r>
      <w:r>
        <w:rPr>
          <w:rFonts w:ascii="Times New Roman" w:hAnsi="Times New Roman" w:cs="Times New Roman" w:eastAsia="Times New Roman"/>
          <w:color w:val="auto"/>
          <w:spacing w:val="0"/>
          <w:position w:val="0"/>
          <w:sz w:val="28"/>
          <w:shd w:fill="auto" w:val="clear"/>
        </w:rPr>
        <w:t xml:space="preserve"> 000 </w:t>
      </w:r>
      <w:r>
        <w:rPr>
          <w:rFonts w:ascii="Times New Roman" w:hAnsi="Times New Roman" w:cs="Times New Roman" w:eastAsia="Times New Roman"/>
          <w:color w:val="auto"/>
          <w:spacing w:val="0"/>
          <w:position w:val="0"/>
          <w:sz w:val="28"/>
          <w:shd w:fill="auto" w:val="clear"/>
        </w:rPr>
        <w:t xml:space="preserve">рублей, то такое финансовое обязательство в справке не указывается. При этом отражение такого обязательства в справке не является нарушением.</w:t>
      </w:r>
    </w:p>
    <w:p>
      <w:pPr>
        <w:numPr>
          <w:ilvl w:val="0"/>
          <w:numId w:val="343"/>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w:t>
      </w:r>
      <w:r>
        <w:rPr>
          <w:rFonts w:ascii="Times New Roman" w:hAnsi="Times New Roman" w:cs="Times New Roman" w:eastAsia="Times New Roman"/>
          <w:b/>
          <w:color w:val="auto"/>
          <w:spacing w:val="0"/>
          <w:position w:val="0"/>
          <w:sz w:val="28"/>
          <w:shd w:fill="auto" w:val="clear"/>
        </w:rPr>
        <w:t xml:space="preserve">Условия обязательства</w:t>
      </w:r>
      <w:r>
        <w:rPr>
          <w:rFonts w:ascii="Times New Roman" w:hAnsi="Times New Roman" w:cs="Times New Roman" w:eastAsia="Times New Roman"/>
          <w:color w:val="auto"/>
          <w:spacing w:val="0"/>
          <w:position w:val="0"/>
          <w:sz w:val="28"/>
          <w:shd w:fill="auto" w:val="clear"/>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обязательства гарантии и поручительства.</w:t>
      </w:r>
    </w:p>
    <w:p>
      <w:pPr>
        <w:numPr>
          <w:ilvl w:val="0"/>
          <w:numId w:val="343"/>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Помимо прочего подлежат указанию:</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w:t>
      </w:r>
      <w:r>
        <w:rPr>
          <w:rFonts w:ascii="Times New Roman" w:hAnsi="Times New Roman" w:cs="Times New Roman" w:eastAsia="Times New Roman"/>
          <w:color w:val="auto"/>
          <w:spacing w:val="0"/>
          <w:position w:val="0"/>
          <w:sz w:val="28"/>
          <w:shd w:fill="auto" w:val="clear"/>
        </w:rPr>
        <w:t xml:space="preserve"> 000 </w:t>
      </w:r>
      <w:r>
        <w:rPr>
          <w:rFonts w:ascii="Times New Roman" w:hAnsi="Times New Roman" w:cs="Times New Roman" w:eastAsia="Times New Roman"/>
          <w:color w:val="auto"/>
          <w:spacing w:val="0"/>
          <w:position w:val="0"/>
          <w:sz w:val="28"/>
          <w:shd w:fill="auto" w:val="clear"/>
        </w:rPr>
        <w:t xml:space="preserve">руб.);</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договор финансовой аренды (лизинг);</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договор займа;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договор финансирования под уступку денежного требования;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обязательства, связанные с заключением договора об уступке права требования;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обязательства вследствие причинения вреда (финансовые);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обязательства по уплате алиментов (если по состоянию на отчетную дату сумма невыплаченных алиментов равна или превышает 500</w:t>
      </w:r>
      <w:r>
        <w:rPr>
          <w:rFonts w:ascii="Times New Roman" w:hAnsi="Times New Roman" w:cs="Times New Roman" w:eastAsia="Times New Roman"/>
          <w:color w:val="auto"/>
          <w:spacing w:val="0"/>
          <w:position w:val="0"/>
          <w:sz w:val="28"/>
          <w:shd w:fill="auto" w:val="clear"/>
        </w:rPr>
        <w:t xml:space="preserve"> 000 </w:t>
      </w:r>
      <w:r>
        <w:rPr>
          <w:rFonts w:ascii="Times New Roman" w:hAnsi="Times New Roman" w:cs="Times New Roman" w:eastAsia="Times New Roman"/>
          <w:color w:val="auto"/>
          <w:spacing w:val="0"/>
          <w:position w:val="0"/>
          <w:sz w:val="28"/>
          <w:shd w:fill="auto" w:val="clear"/>
        </w:rPr>
        <w:t xml:space="preserve">руб.);</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w:t>
      </w:r>
      <w:r>
        <w:rPr>
          <w:rFonts w:ascii="Times New Roman" w:hAnsi="Times New Roman" w:cs="Times New Roman" w:eastAsia="Times New Roman"/>
          <w:color w:val="auto"/>
          <w:spacing w:val="0"/>
          <w:position w:val="0"/>
          <w:sz w:val="28"/>
          <w:shd w:fill="auto" w:val="clear"/>
        </w:rPr>
        <w:t xml:space="preserve"> 000 </w:t>
      </w:r>
      <w:r>
        <w:rPr>
          <w:rFonts w:ascii="Times New Roman" w:hAnsi="Times New Roman" w:cs="Times New Roman" w:eastAsia="Times New Roman"/>
          <w:color w:val="auto"/>
          <w:spacing w:val="0"/>
          <w:position w:val="0"/>
          <w:sz w:val="28"/>
          <w:shd w:fill="auto" w:val="clear"/>
        </w:rPr>
        <w:t xml:space="preserve">руб.);</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выкупленная дебиторская задолженность;</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финансовые обязательства, участником которых в силу Федерального закона от 23 декабря 2003 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177-</w:t>
      </w:r>
      <w:r>
        <w:rPr>
          <w:rFonts w:ascii="Times New Roman" w:hAnsi="Times New Roman" w:cs="Times New Roman" w:eastAsia="Times New Roman"/>
          <w:color w:val="auto"/>
          <w:spacing w:val="0"/>
          <w:position w:val="0"/>
          <w:sz w:val="28"/>
          <w:shd w:fill="auto" w:val="clear"/>
        </w:rPr>
        <w:t xml:space="preserve">ФЗ "О страховании вкладов в банках Российской Федерации" является</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государственная корпорация "Агентство по страхованию вкладов";</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предоставленные брокером займы (т.н. "маржинальные сделки");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обязательства по незакрытым сделкам РЕПО и СВОП (у клиента имеются требования и обязательства по этим сделкам);</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FFFF00" w:val="clear"/>
        </w:rPr>
        <w:t xml:space="preserve">фьючерсный договор</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иные обязательства, в том числе установленные решением суда.</w:t>
      </w:r>
    </w:p>
    <w:p>
      <w:pPr>
        <w:numPr>
          <w:ilvl w:val="0"/>
          <w:numId w:val="345"/>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этом в данном подразделе не указываются, например, договор срочного банковского вклада. </w:t>
      </w:r>
    </w:p>
    <w:p>
      <w:pPr>
        <w:numPr>
          <w:ilvl w:val="0"/>
          <w:numId w:val="345"/>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5798-</w:t>
      </w:r>
      <w:r>
        <w:rPr>
          <w:rFonts w:ascii="Times New Roman" w:hAnsi="Times New Roman" w:cs="Times New Roman" w:eastAsia="Times New Roman"/>
          <w:color w:val="auto"/>
          <w:spacing w:val="0"/>
          <w:position w:val="0"/>
          <w:sz w:val="28"/>
          <w:shd w:fill="auto" w:val="clear"/>
        </w:rPr>
        <w:t xml:space="preserve">У.</w:t>
      </w:r>
    </w:p>
    <w:p>
      <w:pPr>
        <w:numPr>
          <w:ilvl w:val="0"/>
          <w:numId w:val="345"/>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Отдельные виды срочных обязательств финансового характера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участие в долевом строительстве объекта недвижимости. </w:t>
      </w:r>
      <w:r>
        <w:rPr>
          <w:rFonts w:ascii="Times New Roman" w:hAnsi="Times New Roman" w:cs="Times New Roman" w:eastAsia="Times New Roman"/>
          <w:color w:val="auto"/>
          <w:spacing w:val="0"/>
          <w:position w:val="0"/>
          <w:sz w:val="28"/>
          <w:shd w:fill="auto" w:val="clear"/>
        </w:rPr>
        <w:t xml:space="preserve">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w:t>
      </w: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Данный порядок применяется также в случае использования счетов эскроу</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обязательства по ипотеке в случае разделения суммы кредита между супругами.</w:t>
      </w:r>
      <w:r>
        <w:rPr>
          <w:rFonts w:ascii="Times New Roman" w:hAnsi="Times New Roman" w:cs="Times New Roman" w:eastAsia="Times New Roman"/>
          <w:color w:val="auto"/>
          <w:spacing w:val="0"/>
          <w:position w:val="0"/>
          <w:sz w:val="28"/>
          <w:shd w:fill="auto" w:val="clear"/>
        </w:rPr>
        <w:t xml:space="preserve"> Согласно пунктам 4 и 5 статьи 9 Федерального закона от 16</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июля 1998</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102-</w:t>
      </w:r>
      <w:r>
        <w:rPr>
          <w:rFonts w:ascii="Times New Roman" w:hAnsi="Times New Roman" w:cs="Times New Roman" w:eastAsia="Times New Roman"/>
          <w:color w:val="auto"/>
          <w:spacing w:val="0"/>
          <w:position w:val="0"/>
          <w:sz w:val="28"/>
          <w:shd w:fill="auto" w:val="clear"/>
        </w:rPr>
        <w:t xml:space="preserve">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обязательства в соответствии с Законом Российской Федерации от 27</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ноября 1992</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г. </w:t>
      </w:r>
      <w:r>
        <w:rPr>
          <w:rFonts w:ascii="Segoe UI Symbol" w:hAnsi="Segoe UI Symbol" w:cs="Segoe UI Symbol" w:eastAsia="Segoe UI Symbol"/>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4015-I "</w:t>
      </w:r>
      <w:r>
        <w:rPr>
          <w:rFonts w:ascii="Times New Roman" w:hAnsi="Times New Roman" w:cs="Times New Roman" w:eastAsia="Times New Roman"/>
          <w:b/>
          <w:color w:val="auto"/>
          <w:spacing w:val="0"/>
          <w:position w:val="0"/>
          <w:sz w:val="28"/>
          <w:shd w:fill="auto" w:val="clear"/>
        </w:rPr>
        <w:t xml:space="preserve">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Pr>
          <w:rFonts w:ascii="Times New Roman" w:hAnsi="Times New Roman" w:cs="Times New Roman" w:eastAsia="Times New Roman"/>
          <w:color w:val="auto"/>
          <w:spacing w:val="0"/>
          <w:position w:val="0"/>
          <w:sz w:val="28"/>
          <w:shd w:fill="auto" w:val="clear"/>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p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В графе "Содержание обязательства" указывается вид страхования, в графе "</w:t>
      </w:r>
      <w:r>
        <w:rPr>
          <w:rFonts w:ascii="Calibri" w:hAnsi="Calibri" w:cs="Calibri" w:eastAsia="Calibri"/>
          <w:color w:val="auto"/>
          <w:spacing w:val="0"/>
          <w:position w:val="0"/>
          <w:sz w:val="22"/>
          <w:shd w:fill="FFFF00" w:val="clear"/>
        </w:rPr>
        <w:t xml:space="preserve"> </w:t>
      </w:r>
      <w:r>
        <w:rPr>
          <w:rFonts w:ascii="Times New Roman" w:hAnsi="Times New Roman" w:cs="Times New Roman" w:eastAsia="Times New Roman"/>
          <w:color w:val="auto"/>
          <w:spacing w:val="0"/>
          <w:position w:val="0"/>
          <w:sz w:val="28"/>
          <w:shd w:fill="FFFF00" w:val="clear"/>
        </w:rPr>
        <w:t xml:space="preserve">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p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Справку рекомендуется заполнять с учетом сведений, полученных от страховщика в рамках Указания Банка России </w:t>
      </w:r>
      <w:r>
        <w:rPr>
          <w:rFonts w:ascii="Segoe UI Symbol" w:hAnsi="Segoe UI Symbol" w:cs="Segoe UI Symbol" w:eastAsia="Segoe UI Symbol"/>
          <w:color w:val="auto"/>
          <w:spacing w:val="0"/>
          <w:position w:val="0"/>
          <w:sz w:val="28"/>
          <w:shd w:fill="FFFF00" w:val="clear"/>
        </w:rPr>
        <w:t xml:space="preserve">№</w:t>
      </w:r>
      <w:r>
        <w:rPr>
          <w:rFonts w:ascii="Times New Roman" w:hAnsi="Times New Roman" w:cs="Times New Roman" w:eastAsia="Times New Roman"/>
          <w:color w:val="auto"/>
          <w:spacing w:val="0"/>
          <w:position w:val="0"/>
          <w:sz w:val="28"/>
          <w:shd w:fill="FFFF00" w:val="clear"/>
        </w:rPr>
        <w:t xml:space="preserve"> 5798-</w:t>
      </w:r>
      <w:r>
        <w:rPr>
          <w:rFonts w:ascii="Times New Roman" w:hAnsi="Times New Roman" w:cs="Times New Roman" w:eastAsia="Times New Roman"/>
          <w:color w:val="auto"/>
          <w:spacing w:val="0"/>
          <w:position w:val="0"/>
          <w:sz w:val="28"/>
          <w:shd w:fill="FFFF00" w:val="clear"/>
        </w:rPr>
        <w:t xml:space="preserve">У. </w:t>
      </w:r>
    </w:p>
    <w:p>
      <w:p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Также в Указании Банка России </w:t>
      </w:r>
      <w:r>
        <w:rPr>
          <w:rFonts w:ascii="Segoe UI Symbol" w:hAnsi="Segoe UI Symbol" w:cs="Segoe UI Symbol" w:eastAsia="Segoe UI Symbol"/>
          <w:color w:val="auto"/>
          <w:spacing w:val="0"/>
          <w:position w:val="0"/>
          <w:sz w:val="28"/>
          <w:shd w:fill="FFFF00" w:val="clear"/>
        </w:rPr>
        <w:t xml:space="preserve">№</w:t>
      </w:r>
      <w:r>
        <w:rPr>
          <w:rFonts w:ascii="Times New Roman" w:hAnsi="Times New Roman" w:cs="Times New Roman" w:eastAsia="Times New Roman"/>
          <w:color w:val="auto"/>
          <w:spacing w:val="0"/>
          <w:position w:val="0"/>
          <w:sz w:val="28"/>
          <w:shd w:fill="FFFF00" w:val="clear"/>
        </w:rPr>
        <w:t xml:space="preserve"> 5798-</w:t>
      </w:r>
      <w:r>
        <w:rPr>
          <w:rFonts w:ascii="Times New Roman" w:hAnsi="Times New Roman" w:cs="Times New Roman" w:eastAsia="Times New Roman"/>
          <w:color w:val="auto"/>
          <w:spacing w:val="0"/>
          <w:position w:val="0"/>
          <w:sz w:val="28"/>
          <w:shd w:fill="FFFF00" w:val="clear"/>
        </w:rPr>
        <w:t xml:space="preserve">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00" w:val="clear"/>
        </w:rPr>
        <w:t xml:space="preserve">Обязательное пенсионное страхование не подпадает под регулирование Законом Российской Федерации от 27 ноября 1992 г. </w:t>
      </w:r>
      <w:r>
        <w:rPr>
          <w:rFonts w:ascii="Segoe UI Symbol" w:hAnsi="Segoe UI Symbol" w:cs="Segoe UI Symbol" w:eastAsia="Segoe UI Symbol"/>
          <w:color w:val="auto"/>
          <w:spacing w:val="0"/>
          <w:position w:val="0"/>
          <w:sz w:val="28"/>
          <w:shd w:fill="FFFF00" w:val="clear"/>
        </w:rPr>
        <w:t xml:space="preserve">№</w:t>
      </w:r>
      <w:r>
        <w:rPr>
          <w:rFonts w:ascii="Times New Roman" w:hAnsi="Times New Roman" w:cs="Times New Roman" w:eastAsia="Times New Roman"/>
          <w:color w:val="auto"/>
          <w:spacing w:val="0"/>
          <w:position w:val="0"/>
          <w:sz w:val="28"/>
          <w:shd w:fill="FFFF00" w:val="clear"/>
        </w:rPr>
        <w:t xml:space="preserve"> 4015-1 "</w:t>
      </w:r>
      <w:r>
        <w:rPr>
          <w:rFonts w:ascii="Times New Roman" w:hAnsi="Times New Roman" w:cs="Times New Roman" w:eastAsia="Times New Roman"/>
          <w:color w:val="auto"/>
          <w:spacing w:val="0"/>
          <w:position w:val="0"/>
          <w:sz w:val="28"/>
          <w:shd w:fill="FFFF00" w:val="clear"/>
        </w:rPr>
        <w:t xml:space="preserve">Об организации страхового дела в Российской Федерации".</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cs="Times New Roman" w:eastAsia="Times New Roman"/>
          <w:color w:val="auto"/>
          <w:spacing w:val="0"/>
          <w:position w:val="0"/>
          <w:sz w:val="28"/>
          <w:shd w:fill="auto" w:val="clear"/>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обязательства по оплате вознаграждения, у профессионального участника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обязательства вернуть по требованию клиента переданные денежные средства).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w:t>
      </w:r>
      <w:r>
        <w:rPr>
          <w:rFonts w:ascii="Times New Roman" w:hAnsi="Times New Roman" w:cs="Times New Roman" w:eastAsia="Times New Roman"/>
          <w:color w:val="auto"/>
          <w:spacing w:val="0"/>
          <w:position w:val="0"/>
          <w:sz w:val="28"/>
          <w:shd w:fill="auto" w:val="clear"/>
        </w:rPr>
        <w:t xml:space="preserve"> 000 </w:t>
      </w:r>
      <w:r>
        <w:rPr>
          <w:rFonts w:ascii="Times New Roman" w:hAnsi="Times New Roman" w:cs="Times New Roman" w:eastAsia="Times New Roman"/>
          <w:color w:val="auto"/>
          <w:spacing w:val="0"/>
          <w:position w:val="0"/>
          <w:sz w:val="28"/>
          <w:shd w:fill="auto" w:val="clear"/>
        </w:rPr>
        <w:t xml:space="preserve">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pPr>
        <w:spacing w:before="0" w:after="0" w:line="240"/>
        <w:ind w:right="0" w:left="0" w:firstLine="851"/>
        <w:jc w:val="center"/>
        <w:rPr>
          <w:rFonts w:ascii="Times New Roman" w:hAnsi="Times New Roman" w:cs="Times New Roman" w:eastAsia="Times New Roman"/>
          <w:color w:val="auto"/>
          <w:spacing w:val="0"/>
          <w:position w:val="0"/>
          <w:sz w:val="24"/>
          <w:shd w:fill="auto" w:val="clear"/>
        </w:rPr>
      </w:pPr>
    </w:p>
    <w:p>
      <w:pPr>
        <w:numPr>
          <w:ilvl w:val="0"/>
          <w:numId w:val="350"/>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 </w:t>
      </w:r>
    </w:p>
    <w:p>
      <w:pPr>
        <w:numPr>
          <w:ilvl w:val="0"/>
          <w:numId w:val="350"/>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numPr>
          <w:ilvl w:val="0"/>
          <w:numId w:val="350"/>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numPr>
          <w:ilvl w:val="0"/>
          <w:numId w:val="352"/>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Уничтоженные объекты имущества не подлежат отражению в данном разделе справки.</w:t>
      </w:r>
    </w:p>
    <w:p>
      <w:pPr>
        <w:numPr>
          <w:ilvl w:val="0"/>
          <w:numId w:val="352"/>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Договор мены не подлежит отражению в данном разделе справки, так как он является возмездным.</w:t>
      </w:r>
    </w:p>
    <w:p>
      <w:pPr>
        <w:numPr>
          <w:ilvl w:val="0"/>
          <w:numId w:val="352"/>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Каждый объект безвозмездной сделки указывается отдельно.</w:t>
      </w:r>
    </w:p>
    <w:p>
      <w:pPr>
        <w:numPr>
          <w:ilvl w:val="0"/>
          <w:numId w:val="352"/>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89 настоящих Методических рекомендаций), местонахождение (адрес) в соответствии с пунктами 97 и 98 настоящих Методических рекомендаций, площадь (кв. м) в соответствии с пунктом 99 настоящих Методических рекомендаций.</w:t>
      </w:r>
    </w:p>
    <w:p>
      <w:pPr>
        <w:numPr>
          <w:ilvl w:val="0"/>
          <w:numId w:val="352"/>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строке "Транспортные средства" рекомендуется указывать вид, марку, модель транспортного средства, год изготовления, место регистрации.</w:t>
      </w:r>
    </w:p>
    <w:p>
      <w:pPr>
        <w:numPr>
          <w:ilvl w:val="0"/>
          <w:numId w:val="352"/>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153 настоящих Методических рекомендаций, местонахождение организации (адрес), уставный капитал в соответствии с пунктом</w:t>
      </w:r>
      <w:r>
        <w:rPr>
          <w:rFonts w:ascii="Times New Roman" w:hAnsi="Times New Roman" w:cs="Times New Roman" w:eastAsia="Times New Roman"/>
          <w:color w:val="auto"/>
          <w:spacing w:val="0"/>
          <w:position w:val="0"/>
          <w:sz w:val="28"/>
          <w:shd w:fill="auto" w:val="clear"/>
        </w:rPr>
        <w:t xml:space="preserve"> 154 </w:t>
      </w:r>
      <w:r>
        <w:rPr>
          <w:rFonts w:ascii="Times New Roman" w:hAnsi="Times New Roman" w:cs="Times New Roman" w:eastAsia="Times New Roman"/>
          <w:color w:val="auto"/>
          <w:spacing w:val="0"/>
          <w:position w:val="0"/>
          <w:sz w:val="28"/>
          <w:shd w:fill="auto" w:val="clear"/>
        </w:rPr>
        <w:t xml:space="preserve">настоящих Методических рекомендаций, доли участия в соответствии с пунктом</w:t>
      </w:r>
      <w:r>
        <w:rPr>
          <w:rFonts w:ascii="Times New Roman" w:hAnsi="Times New Roman" w:cs="Times New Roman" w:eastAsia="Times New Roman"/>
          <w:color w:val="auto"/>
          <w:spacing w:val="0"/>
          <w:position w:val="0"/>
          <w:sz w:val="28"/>
          <w:shd w:fill="auto" w:val="clear"/>
        </w:rPr>
        <w:t xml:space="preserve"> 155 </w:t>
      </w:r>
      <w:r>
        <w:rPr>
          <w:rFonts w:ascii="Times New Roman" w:hAnsi="Times New Roman" w:cs="Times New Roman" w:eastAsia="Times New Roman"/>
          <w:color w:val="auto"/>
          <w:spacing w:val="0"/>
          <w:position w:val="0"/>
          <w:sz w:val="28"/>
          <w:shd w:fill="auto" w:val="clear"/>
        </w:rPr>
        <w:t xml:space="preserve">настоящих Методических рекомендаций.</w:t>
      </w:r>
    </w:p>
    <w:p>
      <w:pPr>
        <w:numPr>
          <w:ilvl w:val="0"/>
          <w:numId w:val="354"/>
        </w:num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pPr>
        <w:numPr>
          <w:ilvl w:val="0"/>
          <w:numId w:val="354"/>
        </w:num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numPr>
          <w:ilvl w:val="0"/>
          <w:numId w:val="354"/>
        </w:num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В строке "Утилитарные цифровые права" рекомендуется указывать уникальное условное обозначение, идентифицирующее утилитарное цифровое право.</w:t>
      </w:r>
    </w:p>
    <w:p>
      <w:pPr>
        <w:numPr>
          <w:ilvl w:val="0"/>
          <w:numId w:val="354"/>
        </w:numPr>
        <w:spacing w:before="0" w:after="0" w:line="240"/>
        <w:ind w:right="0" w:left="0" w:firstLine="567"/>
        <w:jc w:val="both"/>
        <w:rPr>
          <w:rFonts w:ascii="Times New Roman" w:hAnsi="Times New Roman" w:cs="Times New Roman" w:eastAsia="Times New Roman"/>
          <w:color w:val="auto"/>
          <w:spacing w:val="0"/>
          <w:position w:val="0"/>
          <w:sz w:val="28"/>
          <w:shd w:fill="FFFF00" w:val="clear"/>
        </w:rPr>
      </w:pPr>
      <w:r>
        <w:rPr>
          <w:rFonts w:ascii="Times New Roman" w:hAnsi="Times New Roman" w:cs="Times New Roman" w:eastAsia="Times New Roman"/>
          <w:color w:val="auto"/>
          <w:spacing w:val="0"/>
          <w:position w:val="0"/>
          <w:sz w:val="28"/>
          <w:shd w:fill="FFFF00" w:val="clear"/>
        </w:rPr>
        <w:t xml:space="preserve">В строке "Цифровая валюта" указывается наименование цифровой валюты в соответствии с применимыми документами (без произвольной транслитерации).</w:t>
      </w:r>
    </w:p>
    <w:p>
      <w:pPr>
        <w:numPr>
          <w:ilvl w:val="0"/>
          <w:numId w:val="354"/>
        </w:num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Fonts w:ascii="Times New Roman" w:hAnsi="Times New Roman" w:cs="Times New Roman" w:eastAsia="Times New Roman"/>
          <w:color w:val="auto"/>
          <w:spacing w:val="0"/>
          <w:position w:val="0"/>
          <w:sz w:val="28"/>
          <w:shd w:fill="FFFFFF" w:val="clear"/>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cs="Times New Roman" w:eastAsia="Times New Roman"/>
          <w:color w:val="auto"/>
          <w:spacing w:val="0"/>
          <w:position w:val="0"/>
          <w:sz w:val="28"/>
          <w:shd w:fill="auto" w:val="clear"/>
        </w:rPr>
        <w:t xml:space="preserve">Также указывается актуальный адрес места регистрации физического лица либо адрес, указанный в договоре.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случае безвозмездной сделки с юридическим лицом в данной графе указываются н</w:t>
      </w:r>
      <w:r>
        <w:rPr>
          <w:rFonts w:ascii="Times New Roman" w:hAnsi="Times New Roman" w:cs="Times New Roman" w:eastAsia="Times New Roman"/>
          <w:color w:val="auto"/>
          <w:spacing w:val="0"/>
          <w:position w:val="0"/>
          <w:sz w:val="28"/>
          <w:shd w:fill="auto" w:val="clear"/>
        </w:rPr>
        <w:t xml:space="preserve">аименование, идентификационный номер налогоплательщика и основной государственный регистрационный номер юридического лица.</w:t>
      </w:r>
    </w:p>
    <w:p>
      <w:pPr>
        <w:numPr>
          <w:ilvl w:val="0"/>
          <w:numId w:val="356"/>
        </w:num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Для цифровых финансовых активов, цифровых прав и цифровой валюты также указывается дата их отчуждения.</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abstractNum w:abstractNumId="576">
    <w:lvl w:ilvl="0">
      <w:start w:val="1"/>
      <w:numFmt w:val="bullet"/>
      <w:lvlText w:val="•"/>
    </w:lvl>
  </w:abstractNum>
  <w:abstractNum w:abstractNumId="582">
    <w:lvl w:ilvl="0">
      <w:start w:val="1"/>
      <w:numFmt w:val="bullet"/>
      <w:lvlText w:val="•"/>
    </w:lvl>
  </w:abstractNum>
  <w:abstractNum w:abstractNumId="588">
    <w:lvl w:ilvl="0">
      <w:start w:val="1"/>
      <w:numFmt w:val="bullet"/>
      <w:lvlText w:val="•"/>
    </w:lvl>
  </w:abstractNum>
  <w:abstractNum w:abstractNumId="594">
    <w:lvl w:ilvl="0">
      <w:start w:val="1"/>
      <w:numFmt w:val="bullet"/>
      <w:lvlText w:val="•"/>
    </w:lvl>
  </w:abstractNum>
  <w:abstractNum w:abstractNumId="600">
    <w:lvl w:ilvl="0">
      <w:start w:val="1"/>
      <w:numFmt w:val="bullet"/>
      <w:lvlText w:val="•"/>
    </w:lvl>
  </w:abstractNum>
  <w:abstractNum w:abstractNumId="606">
    <w:lvl w:ilvl="0">
      <w:start w:val="1"/>
      <w:numFmt w:val="bullet"/>
      <w:lvlText w:val="•"/>
    </w:lvl>
  </w:abstractNum>
  <w:abstractNum w:abstractNumId="612">
    <w:lvl w:ilvl="0">
      <w:start w:val="1"/>
      <w:numFmt w:val="bullet"/>
      <w:lvlText w:val="•"/>
    </w:lvl>
  </w:abstractNum>
  <w:abstractNum w:abstractNumId="618">
    <w:lvl w:ilvl="0">
      <w:start w:val="1"/>
      <w:numFmt w:val="bullet"/>
      <w:lvlText w:val="•"/>
    </w:lvl>
  </w:abstractNum>
  <w:abstractNum w:abstractNumId="624">
    <w:lvl w:ilvl="0">
      <w:start w:val="1"/>
      <w:numFmt w:val="bullet"/>
      <w:lvlText w:val="•"/>
    </w:lvl>
  </w:abstractNum>
  <w:num w:numId="3">
    <w:abstractNumId w:val="624"/>
  </w:num>
  <w:num w:numId="6">
    <w:abstractNumId w:val="618"/>
  </w:num>
  <w:num w:numId="13">
    <w:abstractNumId w:val="612"/>
  </w:num>
  <w:num w:numId="15">
    <w:abstractNumId w:val="606"/>
  </w:num>
  <w:num w:numId="17">
    <w:abstractNumId w:val="600"/>
  </w:num>
  <w:num w:numId="20">
    <w:abstractNumId w:val="594"/>
  </w:num>
  <w:num w:numId="24">
    <w:abstractNumId w:val="588"/>
  </w:num>
  <w:num w:numId="26">
    <w:abstractNumId w:val="582"/>
  </w:num>
  <w:num w:numId="28">
    <w:abstractNumId w:val="576"/>
  </w:num>
  <w:num w:numId="31">
    <w:abstractNumId w:val="570"/>
  </w:num>
  <w:num w:numId="33">
    <w:abstractNumId w:val="564"/>
  </w:num>
  <w:num w:numId="35">
    <w:abstractNumId w:val="558"/>
  </w:num>
  <w:num w:numId="37">
    <w:abstractNumId w:val="552"/>
  </w:num>
  <w:num w:numId="39">
    <w:abstractNumId w:val="546"/>
  </w:num>
  <w:num w:numId="41">
    <w:abstractNumId w:val="540"/>
  </w:num>
  <w:num w:numId="43">
    <w:abstractNumId w:val="534"/>
  </w:num>
  <w:num w:numId="45">
    <w:abstractNumId w:val="528"/>
  </w:num>
  <w:num w:numId="67">
    <w:abstractNumId w:val="522"/>
  </w:num>
  <w:num w:numId="91">
    <w:abstractNumId w:val="516"/>
  </w:num>
  <w:num w:numId="114">
    <w:abstractNumId w:val="510"/>
  </w:num>
  <w:num w:numId="116">
    <w:abstractNumId w:val="504"/>
  </w:num>
  <w:num w:numId="118">
    <w:abstractNumId w:val="498"/>
  </w:num>
  <w:num w:numId="120">
    <w:abstractNumId w:val="492"/>
  </w:num>
  <w:num w:numId="141">
    <w:abstractNumId w:val="486"/>
  </w:num>
  <w:num w:numId="144">
    <w:abstractNumId w:val="480"/>
  </w:num>
  <w:num w:numId="146">
    <w:abstractNumId w:val="474"/>
  </w:num>
  <w:num w:numId="150">
    <w:abstractNumId w:val="468"/>
  </w:num>
  <w:num w:numId="155">
    <w:abstractNumId w:val="462"/>
  </w:num>
  <w:num w:numId="157">
    <w:abstractNumId w:val="456"/>
  </w:num>
  <w:num w:numId="159">
    <w:abstractNumId w:val="450"/>
  </w:num>
  <w:num w:numId="161">
    <w:abstractNumId w:val="444"/>
  </w:num>
  <w:num w:numId="163">
    <w:abstractNumId w:val="438"/>
  </w:num>
  <w:num w:numId="165">
    <w:abstractNumId w:val="432"/>
  </w:num>
  <w:num w:numId="167">
    <w:abstractNumId w:val="426"/>
  </w:num>
  <w:num w:numId="169">
    <w:abstractNumId w:val="420"/>
  </w:num>
  <w:num w:numId="171">
    <w:abstractNumId w:val="414"/>
  </w:num>
  <w:num w:numId="173">
    <w:abstractNumId w:val="408"/>
  </w:num>
  <w:num w:numId="176">
    <w:abstractNumId w:val="402"/>
  </w:num>
  <w:num w:numId="178">
    <w:abstractNumId w:val="396"/>
  </w:num>
  <w:num w:numId="181">
    <w:abstractNumId w:val="390"/>
  </w:num>
  <w:num w:numId="187">
    <w:abstractNumId w:val="384"/>
  </w:num>
  <w:num w:numId="199">
    <w:abstractNumId w:val="378"/>
  </w:num>
  <w:num w:numId="201">
    <w:abstractNumId w:val="372"/>
  </w:num>
  <w:num w:numId="206">
    <w:abstractNumId w:val="366"/>
  </w:num>
  <w:num w:numId="208">
    <w:abstractNumId w:val="360"/>
  </w:num>
  <w:num w:numId="212">
    <w:abstractNumId w:val="354"/>
  </w:num>
  <w:num w:numId="214">
    <w:abstractNumId w:val="348"/>
  </w:num>
  <w:num w:numId="216">
    <w:abstractNumId w:val="342"/>
  </w:num>
  <w:num w:numId="218">
    <w:abstractNumId w:val="336"/>
  </w:num>
  <w:num w:numId="220">
    <w:abstractNumId w:val="330"/>
  </w:num>
  <w:num w:numId="222">
    <w:abstractNumId w:val="324"/>
  </w:num>
  <w:num w:numId="224">
    <w:abstractNumId w:val="318"/>
  </w:num>
  <w:num w:numId="231">
    <w:abstractNumId w:val="312"/>
  </w:num>
  <w:num w:numId="233">
    <w:abstractNumId w:val="306"/>
  </w:num>
  <w:num w:numId="235">
    <w:abstractNumId w:val="300"/>
  </w:num>
  <w:num w:numId="238">
    <w:abstractNumId w:val="294"/>
  </w:num>
  <w:num w:numId="240">
    <w:abstractNumId w:val="288"/>
  </w:num>
  <w:num w:numId="242">
    <w:abstractNumId w:val="282"/>
  </w:num>
  <w:num w:numId="244">
    <w:abstractNumId w:val="276"/>
  </w:num>
  <w:num w:numId="246">
    <w:abstractNumId w:val="270"/>
  </w:num>
  <w:num w:numId="248">
    <w:abstractNumId w:val="264"/>
  </w:num>
  <w:num w:numId="250">
    <w:abstractNumId w:val="258"/>
  </w:num>
  <w:num w:numId="252">
    <w:abstractNumId w:val="252"/>
  </w:num>
  <w:num w:numId="254">
    <w:abstractNumId w:val="246"/>
  </w:num>
  <w:num w:numId="257">
    <w:abstractNumId w:val="240"/>
  </w:num>
  <w:num w:numId="259">
    <w:abstractNumId w:val="234"/>
  </w:num>
  <w:num w:numId="261">
    <w:abstractNumId w:val="228"/>
  </w:num>
  <w:num w:numId="265">
    <w:abstractNumId w:val="222"/>
  </w:num>
  <w:num w:numId="267">
    <w:abstractNumId w:val="216"/>
  </w:num>
  <w:num w:numId="269">
    <w:abstractNumId w:val="210"/>
  </w:num>
  <w:num w:numId="271">
    <w:abstractNumId w:val="204"/>
  </w:num>
  <w:num w:numId="274">
    <w:abstractNumId w:val="198"/>
  </w:num>
  <w:num w:numId="276">
    <w:abstractNumId w:val="192"/>
  </w:num>
  <w:num w:numId="278">
    <w:abstractNumId w:val="186"/>
  </w:num>
  <w:num w:numId="280">
    <w:abstractNumId w:val="180"/>
  </w:num>
  <w:num w:numId="282">
    <w:abstractNumId w:val="174"/>
  </w:num>
  <w:num w:numId="284">
    <w:abstractNumId w:val="168"/>
  </w:num>
  <w:num w:numId="286">
    <w:abstractNumId w:val="162"/>
  </w:num>
  <w:num w:numId="288">
    <w:abstractNumId w:val="156"/>
  </w:num>
  <w:num w:numId="295">
    <w:abstractNumId w:val="150"/>
  </w:num>
  <w:num w:numId="297">
    <w:abstractNumId w:val="144"/>
  </w:num>
  <w:num w:numId="299">
    <w:abstractNumId w:val="138"/>
  </w:num>
  <w:num w:numId="301">
    <w:abstractNumId w:val="132"/>
  </w:num>
  <w:num w:numId="304">
    <w:abstractNumId w:val="126"/>
  </w:num>
  <w:num w:numId="306">
    <w:abstractNumId w:val="120"/>
  </w:num>
  <w:num w:numId="308">
    <w:abstractNumId w:val="114"/>
  </w:num>
  <w:num w:numId="310">
    <w:abstractNumId w:val="108"/>
  </w:num>
  <w:num w:numId="312">
    <w:abstractNumId w:val="102"/>
  </w:num>
  <w:num w:numId="315">
    <w:abstractNumId w:val="96"/>
  </w:num>
  <w:num w:numId="317">
    <w:abstractNumId w:val="90"/>
  </w:num>
  <w:num w:numId="322">
    <w:abstractNumId w:val="84"/>
  </w:num>
  <w:num w:numId="324">
    <w:abstractNumId w:val="78"/>
  </w:num>
  <w:num w:numId="326">
    <w:abstractNumId w:val="72"/>
  </w:num>
  <w:num w:numId="329">
    <w:abstractNumId w:val="66"/>
  </w:num>
  <w:num w:numId="331">
    <w:abstractNumId w:val="60"/>
  </w:num>
  <w:num w:numId="333">
    <w:abstractNumId w:val="54"/>
  </w:num>
  <w:num w:numId="336">
    <w:abstractNumId w:val="48"/>
  </w:num>
  <w:num w:numId="338">
    <w:abstractNumId w:val="42"/>
  </w:num>
  <w:num w:numId="341">
    <w:abstractNumId w:val="36"/>
  </w:num>
  <w:num w:numId="343">
    <w:abstractNumId w:val="30"/>
  </w:num>
  <w:num w:numId="345">
    <w:abstractNumId w:val="24"/>
  </w:num>
  <w:num w:numId="350">
    <w:abstractNumId w:val="18"/>
  </w:num>
  <w:num w:numId="352">
    <w:abstractNumId w:val="12"/>
  </w:num>
  <w:num w:numId="354">
    <w:abstractNumId w:val="6"/>
  </w:num>
  <w:num w:numId="35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cbr.ru/banking_sector/likvidbase/" Id="docRId17" Type="http://schemas.openxmlformats.org/officeDocument/2006/relationships/hyperlink" /><Relationship TargetMode="External" Target="http://www.kremlin.ru/structure/additional/12" Id="docRId7" Type="http://schemas.openxmlformats.org/officeDocument/2006/relationships/hyperlink" /><Relationship TargetMode="External" Target="https://www.cbr.ru/hd_base/metall/metall_base_new/" Id="docRId14" Type="http://schemas.openxmlformats.org/officeDocument/2006/relationships/hyperlink" /><Relationship TargetMode="External" Target="consultantplus://offline/ref=33E7B6DD529722622844D6F9EBC8DBA03B3FAEDA9118A1613233FFF35FCD6ECFCAED66496D73EC2Di9vDO" Id="docRId6" Type="http://schemas.openxmlformats.org/officeDocument/2006/relationships/hyperlink" /><Relationship TargetMode="External" Target="consultantplus://offline/ref=C9E7374AA1332C6CF9FF0059DC9BC42D7E0C4094E90E8D4E87A0DE0B00JBsBL" Id="docRId1" Type="http://schemas.openxmlformats.org/officeDocument/2006/relationships/hyperlink" /><Relationship TargetMode="External" Target="https://www.gibdd.ru/r/66/contacts/div1165058/" Id="docRId11" Type="http://schemas.openxmlformats.org/officeDocument/2006/relationships/hyperlink" /><Relationship TargetMode="External" Target="https://www.cbr.ru/currency_base/" Id="docRId15" Type="http://schemas.openxmlformats.org/officeDocument/2006/relationships/hyperlink" /><Relationship TargetMode="External" Target="https://www.cbr.ru/currency_base/daily/" Id="docRId19" Type="http://schemas.openxmlformats.org/officeDocument/2006/relationships/hyperlink" /><Relationship Target="styles.xml" Id="docRId22" Type="http://schemas.openxmlformats.org/officeDocument/2006/relationships/styles" /><Relationship TargetMode="External" Target="consultantplus://offline/ref=7F2EEDDD06F168B694690D2DE649735BC9E53CBFC16FEC31087E4E96CAJ2nFL" Id="docRId5" Type="http://schemas.openxmlformats.org/officeDocument/2006/relationships/hyperlink" /><Relationship TargetMode="External" Target="https://www.cbr.ru/currency_base/daily/" Id="docRId9" Type="http://schemas.openxmlformats.org/officeDocument/2006/relationships/hyperlink" /><Relationship TargetMode="External" Target="consultantplus://offline/ref=57E0B1C8ADAC653FBEA55D1E9049ED91A63B5BC1BDB036D12C5B445229pEa3J" Id="docRId0" Type="http://schemas.openxmlformats.org/officeDocument/2006/relationships/hyperlink" /><Relationship TargetMode="External" Target="https://www.gibdd.ru/r/66/contacts/div1165043/" Id="docRId12" Type="http://schemas.openxmlformats.org/officeDocument/2006/relationships/hyperlink" /><Relationship TargetMode="External" Target="https://www.nalog.ru/rn77/related_activities/accounting/bank_account/" Id="docRId16" Type="http://schemas.openxmlformats.org/officeDocument/2006/relationships/hyperlink" /><Relationship Target="numbering.xml" Id="docRId21" Type="http://schemas.openxmlformats.org/officeDocument/2006/relationships/numbering" /><Relationship TargetMode="External" Target="consultantplus://offline/ref=3743F552A0D416E80BEAF690826125BB530BB097B6A5A5C17137C1E72FF3E91DCF3284BA9D2A6279g3rBM" Id="docRId4" Type="http://schemas.openxmlformats.org/officeDocument/2006/relationships/hyperlink" /><Relationship TargetMode="External" Target="https://gossluzhba.gov.ru/anticorruption/spravki_bk" Id="docRId8" Type="http://schemas.openxmlformats.org/officeDocument/2006/relationships/hyperlink" /><Relationship TargetMode="External" Target="http://www.cbr.ru/finm_infrastructure/oper/" Id="docRId13" Type="http://schemas.openxmlformats.org/officeDocument/2006/relationships/hyperlink" /><Relationship TargetMode="External" Target="https://www.cbr.ru/currency_base/daily/" Id="docRId20" Type="http://schemas.openxmlformats.org/officeDocument/2006/relationships/hyperlink" /><Relationship TargetMode="External" Target="consultantplus://offline/ref=7F2EEDDD06F168B694690D2DE649735BC9E53CBFC16FEC31087E4E96CAJ2nFL" Id="docRId3" Type="http://schemas.openxmlformats.org/officeDocument/2006/relationships/hyperlink" /><Relationship TargetMode="External" Target="https://www.gibdd.ru/r/77/contacts/div1145039/" Id="docRId10" Type="http://schemas.openxmlformats.org/officeDocument/2006/relationships/hyperlink" /><Relationship TargetMode="External" Target="https://www.cbr.ru/currency_base/daily/" Id="docRId18" Type="http://schemas.openxmlformats.org/officeDocument/2006/relationships/hyperlink" /><Relationship TargetMode="External" Target="consultantplus://offline/ref=176F7DE9F43BBC5D4BD135AAE1CAD04D0FAF9650A130B33DA87DA13E97FAF95DCF18F97FDC1FE2FAH7g2M" Id="docRId2" Type="http://schemas.openxmlformats.org/officeDocument/2006/relationships/hyperlink" /></Relationships>
</file>